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D269" w14:textId="77777777" w:rsidR="0027719B" w:rsidRDefault="00671FE4" w:rsidP="0027719B">
      <w:r>
        <w:object w:dxaOrig="4530" w:dyaOrig="2820" w14:anchorId="62E40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5pt;height:140.8pt" o:ole="">
            <v:imagedata r:id="rId9" o:title="" croptop="4295f" cropbottom="4295f" cropleft="1476f" cropright="1476f"/>
          </v:shape>
          <o:OLEObject Type="Embed" ProgID="MSPhotoEd.3" ShapeID="_x0000_i1025" DrawAspect="Content" ObjectID="_1780399404" r:id="rId10"/>
        </w:object>
      </w:r>
    </w:p>
    <w:p w14:paraId="1095C264" w14:textId="77777777" w:rsidR="0027719B" w:rsidRPr="000058DA" w:rsidRDefault="00671FE4" w:rsidP="000058DA">
      <w:pPr>
        <w:jc w:val="both"/>
      </w:pPr>
      <w:r w:rsidRPr="000058DA">
        <w:t>Aan de gemeenteraad</w:t>
      </w:r>
    </w:p>
    <w:p w14:paraId="5C4F2B4D" w14:textId="77777777" w:rsidR="0027719B" w:rsidRDefault="0027719B" w:rsidP="0027719B"/>
    <w:p w14:paraId="643D12EB" w14:textId="77777777" w:rsidR="0027719B" w:rsidRPr="000058DA" w:rsidRDefault="00671FE4" w:rsidP="0027719B">
      <w:pPr>
        <w:rPr>
          <w:b/>
          <w:caps/>
          <w:sz w:val="28"/>
        </w:rPr>
      </w:pPr>
      <w:r w:rsidRPr="000058DA">
        <w:rPr>
          <w:b/>
          <w:caps/>
          <w:color w:val="008BBC"/>
          <w:sz w:val="28"/>
        </w:rPr>
        <w:t>Raadsvoorstel</w:t>
      </w:r>
    </w:p>
    <w:p w14:paraId="160BBB6F" w14:textId="77777777" w:rsidR="0027719B" w:rsidRDefault="0027719B" w:rsidP="0027719B"/>
    <w:p w14:paraId="5B2240AD" w14:textId="77777777" w:rsidR="0027719B" w:rsidRPr="000058DA" w:rsidRDefault="00671FE4" w:rsidP="0027719B">
      <w:pPr>
        <w:rPr>
          <w:sz w:val="32"/>
          <w:szCs w:val="32"/>
          <w:u w:val="single"/>
        </w:rPr>
      </w:pPr>
      <w:r>
        <w:rPr>
          <w:sz w:val="32"/>
          <w:szCs w:val="32"/>
          <w:u w:val="single"/>
        </w:rPr>
        <w:t>Programmarekening 2023</w:t>
      </w:r>
    </w:p>
    <w:p w14:paraId="555A2AD8" w14:textId="77777777" w:rsidR="00794E60" w:rsidRPr="001E3D4A" w:rsidRDefault="00794E60" w:rsidP="0027719B"/>
    <w:p w14:paraId="7F2A8073" w14:textId="77777777" w:rsidR="0027719B" w:rsidRPr="00F020C9" w:rsidRDefault="00671FE4" w:rsidP="000058DA">
      <w:pPr>
        <w:ind w:firstLine="284"/>
        <w:rPr>
          <w:b/>
          <w:u w:val="single"/>
        </w:rPr>
      </w:pPr>
      <w:r w:rsidRPr="00F020C9">
        <w:rPr>
          <w:b/>
          <w:u w:val="single"/>
        </w:rPr>
        <w:t>KORTE SAMENVATTING</w:t>
      </w:r>
    </w:p>
    <w:p w14:paraId="3B528A22" w14:textId="31E571F7" w:rsidR="005834B2" w:rsidRPr="006F30D5" w:rsidRDefault="005834B2" w:rsidP="005834B2">
      <w:pPr>
        <w:rPr>
          <w:szCs w:val="20"/>
        </w:rPr>
      </w:pPr>
      <w:r w:rsidRPr="00881EC0">
        <w:rPr>
          <w:rFonts w:cs="Arial"/>
          <w:szCs w:val="20"/>
        </w:rPr>
        <w:t xml:space="preserve">Bijgevoegd </w:t>
      </w:r>
      <w:r>
        <w:rPr>
          <w:rFonts w:cs="Arial"/>
          <w:szCs w:val="20"/>
        </w:rPr>
        <w:t xml:space="preserve">ter vaststelling </w:t>
      </w:r>
      <w:r w:rsidRPr="00881EC0">
        <w:rPr>
          <w:rFonts w:cs="Arial"/>
          <w:szCs w:val="20"/>
        </w:rPr>
        <w:t>de concept jaarrekening 20</w:t>
      </w:r>
      <w:r>
        <w:rPr>
          <w:rFonts w:cs="Arial"/>
          <w:szCs w:val="20"/>
        </w:rPr>
        <w:t>23.</w:t>
      </w:r>
      <w:r w:rsidRPr="00881EC0">
        <w:rPr>
          <w:rFonts w:cs="Arial"/>
          <w:szCs w:val="20"/>
        </w:rPr>
        <w:t xml:space="preserve"> De jaarrekening sluit met een </w:t>
      </w:r>
      <w:r>
        <w:rPr>
          <w:rFonts w:cs="Arial"/>
          <w:szCs w:val="20"/>
        </w:rPr>
        <w:t>positief</w:t>
      </w:r>
      <w:r w:rsidRPr="00881EC0">
        <w:rPr>
          <w:rFonts w:cs="Arial"/>
          <w:szCs w:val="20"/>
        </w:rPr>
        <w:t xml:space="preserve"> saldo van €</w:t>
      </w:r>
      <w:r>
        <w:rPr>
          <w:rFonts w:cs="Arial"/>
          <w:szCs w:val="20"/>
        </w:rPr>
        <w:t> </w:t>
      </w:r>
      <w:r w:rsidR="006B6424">
        <w:rPr>
          <w:rFonts w:cs="Arial"/>
          <w:szCs w:val="20"/>
        </w:rPr>
        <w:t>2.145.238</w:t>
      </w:r>
      <w:r>
        <w:rPr>
          <w:rFonts w:cs="Arial"/>
          <w:szCs w:val="20"/>
        </w:rPr>
        <w:t>.</w:t>
      </w:r>
    </w:p>
    <w:p w14:paraId="28F9D2F0" w14:textId="77777777" w:rsidR="000058DA" w:rsidRPr="006F30D5" w:rsidRDefault="000058DA" w:rsidP="0027719B">
      <w:pPr>
        <w:rPr>
          <w:szCs w:val="20"/>
        </w:rPr>
      </w:pPr>
    </w:p>
    <w:p w14:paraId="131E07C6" w14:textId="77777777" w:rsidR="0027719B" w:rsidRPr="000058DA" w:rsidRDefault="00671FE4" w:rsidP="00794E60">
      <w:pPr>
        <w:tabs>
          <w:tab w:val="left" w:pos="2295"/>
        </w:tabs>
        <w:rPr>
          <w:b/>
          <w:caps/>
          <w:sz w:val="28"/>
          <w:szCs w:val="28"/>
        </w:rPr>
      </w:pPr>
      <w:r w:rsidRPr="000058DA">
        <w:rPr>
          <w:b/>
          <w:caps/>
          <w:color w:val="008BBC"/>
          <w:sz w:val="28"/>
          <w:szCs w:val="28"/>
        </w:rPr>
        <w:t>Toelichting</w:t>
      </w:r>
      <w:r w:rsidRPr="000058DA">
        <w:rPr>
          <w:b/>
          <w:caps/>
          <w:color w:val="008BBC"/>
          <w:sz w:val="28"/>
          <w:szCs w:val="28"/>
        </w:rPr>
        <w:tab/>
      </w:r>
    </w:p>
    <w:p w14:paraId="021CEE75" w14:textId="77777777" w:rsidR="0027719B" w:rsidRPr="001E3D4A" w:rsidRDefault="0027719B" w:rsidP="0027719B"/>
    <w:p w14:paraId="2AF4A279" w14:textId="77777777" w:rsidR="0027719B" w:rsidRPr="000058DA" w:rsidRDefault="00671FE4" w:rsidP="000058DA">
      <w:pPr>
        <w:ind w:firstLine="284"/>
        <w:rPr>
          <w:b/>
          <w:caps/>
          <w:u w:val="single"/>
        </w:rPr>
      </w:pPr>
      <w:r w:rsidRPr="000058DA">
        <w:rPr>
          <w:b/>
          <w:caps/>
          <w:u w:val="single"/>
        </w:rPr>
        <w:t>Aanleiding</w:t>
      </w:r>
    </w:p>
    <w:p w14:paraId="0400CE34" w14:textId="77777777" w:rsidR="005834B2" w:rsidRDefault="005834B2" w:rsidP="005834B2">
      <w:r>
        <w:rPr>
          <w:bdr w:val="nil"/>
        </w:rPr>
        <w:t>Het juridisch kader voor het samenstellen van de jaarstukken vinden we terug in diverse wetten en regelingen. In de Gemeentewet staat dat we de jaarstukken vóór 15 juli aan het college van Gedeputeerde Staten van Limburg moeten toezenden. En in het Besluit Begroting en Verantwoording (BBV) staan allerlei bepalingen waaraan de jaarstukken in technische zin moeten voldoen. Maar ook de door u vastgestelde financiële verordening ex artikel 212 van de Gemeentewet vormt een belangrijk kader waarmee wij bij de samenstelling van deze jaarstukken rekening hebben gehouden.</w:t>
      </w:r>
    </w:p>
    <w:p w14:paraId="3DB01196" w14:textId="77777777" w:rsidR="000058DA" w:rsidRPr="006F30D5" w:rsidRDefault="000058DA" w:rsidP="0027719B"/>
    <w:p w14:paraId="269F6BD4" w14:textId="77777777" w:rsidR="0027719B" w:rsidRDefault="00671FE4" w:rsidP="000058DA">
      <w:pPr>
        <w:ind w:firstLine="284"/>
        <w:rPr>
          <w:b/>
          <w:caps/>
          <w:u w:val="single"/>
        </w:rPr>
      </w:pPr>
      <w:r w:rsidRPr="000058DA">
        <w:rPr>
          <w:b/>
          <w:caps/>
          <w:u w:val="single"/>
        </w:rPr>
        <w:t>Motivering</w:t>
      </w:r>
    </w:p>
    <w:p w14:paraId="002F229F" w14:textId="11545690" w:rsidR="005834B2" w:rsidRDefault="005834B2" w:rsidP="005834B2">
      <w:pPr>
        <w:rPr>
          <w:bdr w:val="nil"/>
        </w:rPr>
      </w:pPr>
      <w:r>
        <w:rPr>
          <w:bdr w:val="nil"/>
        </w:rPr>
        <w:t>De jaarstukken geven inzicht in de realisatie van de doelen die u in de strategische visie, het raadsprogramma 2022 – 2026 en de programmabegroting 2023 heeft geformuleerd. Maar in de jaarstukken 2023 doen we ook verslag van de uitvoering van beleids- en uitvoeringsplannen. Daarbij hanteren we wel de spelregel die wij hebben vastgesteld in de financiële verordening ex.</w:t>
      </w:r>
      <w:r w:rsidR="00894396">
        <w:rPr>
          <w:bdr w:val="nil"/>
        </w:rPr>
        <w:t xml:space="preserve"> </w:t>
      </w:r>
      <w:r>
        <w:rPr>
          <w:bdr w:val="nil"/>
        </w:rPr>
        <w:t>artikel 212 van de Gemeentewet. Afwijkingen die groter zijn dan 10% met een minimum van €  10.000 per kostenplaats worden toegelicht.</w:t>
      </w:r>
    </w:p>
    <w:p w14:paraId="0E87DE38" w14:textId="77777777" w:rsidR="005834B2" w:rsidRDefault="005834B2" w:rsidP="005834B2">
      <w:pPr>
        <w:rPr>
          <w:bCs/>
        </w:rPr>
      </w:pPr>
    </w:p>
    <w:p w14:paraId="65C3A95A" w14:textId="709B3D34" w:rsidR="005834B2" w:rsidRPr="001D15C4" w:rsidRDefault="005834B2" w:rsidP="005834B2">
      <w:pPr>
        <w:rPr>
          <w:bCs/>
        </w:rPr>
      </w:pPr>
      <w:r w:rsidRPr="001D15C4">
        <w:rPr>
          <w:bCs/>
        </w:rPr>
        <w:t>Qua procesgang wordt dit voorstel met de Raad op de volgende momenten besproken:</w:t>
      </w:r>
    </w:p>
    <w:p w14:paraId="1E44BF48" w14:textId="77777777" w:rsidR="005834B2" w:rsidRPr="001D15C4" w:rsidRDefault="005834B2" w:rsidP="005834B2">
      <w:pPr>
        <w:rPr>
          <w:bCs/>
        </w:rPr>
      </w:pPr>
    </w:p>
    <w:p w14:paraId="4E6B01F9" w14:textId="0774FCD4" w:rsidR="005834B2" w:rsidRPr="005834B2" w:rsidRDefault="005834B2" w:rsidP="005834B2">
      <w:pPr>
        <w:pStyle w:val="Lijstalinea"/>
        <w:numPr>
          <w:ilvl w:val="0"/>
          <w:numId w:val="2"/>
        </w:numPr>
        <w:rPr>
          <w:bCs/>
        </w:rPr>
      </w:pPr>
      <w:r w:rsidRPr="005834B2">
        <w:rPr>
          <w:bCs/>
        </w:rPr>
        <w:t>Nadat het Raadsvoorstel aan u is aangeboden krijgt u de gelegenheid om schriftelijk vragen te stellen.</w:t>
      </w:r>
    </w:p>
    <w:p w14:paraId="7A379EF8" w14:textId="36A89219" w:rsidR="005834B2" w:rsidRPr="005834B2" w:rsidRDefault="005834B2" w:rsidP="005834B2">
      <w:pPr>
        <w:pStyle w:val="Lijstalinea"/>
        <w:numPr>
          <w:ilvl w:val="0"/>
          <w:numId w:val="2"/>
        </w:numPr>
        <w:rPr>
          <w:bCs/>
        </w:rPr>
      </w:pPr>
      <w:r w:rsidRPr="005834B2">
        <w:rPr>
          <w:bCs/>
        </w:rPr>
        <w:lastRenderedPageBreak/>
        <w:t>In de P&amp;C commissie kunnen financieel technische vragen worden gesteld en zal de accountant aanschuiven om het accountantsverslag toe te lichten.</w:t>
      </w:r>
    </w:p>
    <w:p w14:paraId="42DA976A" w14:textId="18270FE1" w:rsidR="005834B2" w:rsidRPr="005834B2" w:rsidRDefault="005834B2" w:rsidP="005834B2">
      <w:pPr>
        <w:pStyle w:val="Lijstalinea"/>
        <w:numPr>
          <w:ilvl w:val="0"/>
          <w:numId w:val="2"/>
        </w:numPr>
        <w:rPr>
          <w:bCs/>
        </w:rPr>
      </w:pPr>
      <w:r w:rsidRPr="005834B2">
        <w:rPr>
          <w:bCs/>
        </w:rPr>
        <w:t>In de dialoogvergadering kunnen aanvullende verdiepende vragen gesteld worden n.a.v. van de ontvangen antwoorden onder 1).</w:t>
      </w:r>
    </w:p>
    <w:p w14:paraId="56EF9925" w14:textId="6B5E81D7" w:rsidR="005834B2" w:rsidRPr="005834B2" w:rsidRDefault="005834B2" w:rsidP="005834B2">
      <w:pPr>
        <w:pStyle w:val="Lijstalinea"/>
        <w:numPr>
          <w:ilvl w:val="0"/>
          <w:numId w:val="2"/>
        </w:numPr>
        <w:rPr>
          <w:bCs/>
        </w:rPr>
      </w:pPr>
      <w:r w:rsidRPr="005834B2">
        <w:rPr>
          <w:bCs/>
        </w:rPr>
        <w:t xml:space="preserve">In de </w:t>
      </w:r>
      <w:r w:rsidR="00944513">
        <w:rPr>
          <w:bCs/>
        </w:rPr>
        <w:t>raadsv</w:t>
      </w:r>
      <w:r w:rsidRPr="005834B2">
        <w:rPr>
          <w:bCs/>
        </w:rPr>
        <w:t>ergadering kunnen politieke vragen gesteld worden en wordt tot besluitvorming overgegaan.</w:t>
      </w:r>
    </w:p>
    <w:p w14:paraId="720722FD" w14:textId="734DD0DD" w:rsidR="000058DA" w:rsidRPr="004C2212" w:rsidRDefault="004C2212" w:rsidP="000058DA">
      <w:pPr>
        <w:rPr>
          <w:bCs/>
        </w:rPr>
      </w:pPr>
      <w:r w:rsidRPr="004C2212">
        <w:rPr>
          <w:bCs/>
          <w:u w:val="single"/>
        </w:rPr>
        <w:t>Rechtmatigheidsverantwoording</w:t>
      </w:r>
      <w:r>
        <w:rPr>
          <w:bCs/>
          <w:u w:val="single"/>
        </w:rPr>
        <w:br/>
      </w:r>
      <w:r w:rsidR="00875819">
        <w:rPr>
          <w:rFonts w:eastAsia="Arial"/>
          <w:lang w:eastAsia="nl-NL"/>
        </w:rPr>
        <w:t xml:space="preserve">Vanaf verantwoordingsjaar 2023 </w:t>
      </w:r>
      <w:r w:rsidR="00986749">
        <w:rPr>
          <w:rFonts w:eastAsia="Arial"/>
          <w:lang w:eastAsia="nl-NL"/>
        </w:rPr>
        <w:t>legt</w:t>
      </w:r>
      <w:r w:rsidR="00875819">
        <w:rPr>
          <w:rFonts w:eastAsia="Arial"/>
          <w:lang w:eastAsia="nl-NL"/>
        </w:rPr>
        <w:t xml:space="preserve"> ons college een rechtmatigheidsverklaring af te geven over de jaarrekening 2023. In deze verklaring </w:t>
      </w:r>
      <w:r w:rsidR="00986749">
        <w:rPr>
          <w:rFonts w:eastAsia="Arial"/>
          <w:lang w:eastAsia="nl-NL"/>
        </w:rPr>
        <w:t>dient</w:t>
      </w:r>
      <w:r w:rsidR="00875819">
        <w:rPr>
          <w:rFonts w:eastAsia="Arial"/>
          <w:lang w:eastAsia="nl-NL"/>
        </w:rPr>
        <w:t xml:space="preserve"> ons college zich richting uw raad te verantwoorden over het feit of rechtmatig is gehandeld. Tot 2022 heeft de accountant via het accountantsverslag hierover gerapporteerd. </w:t>
      </w:r>
      <w:r w:rsidR="009C0ADC">
        <w:rPr>
          <w:bCs/>
        </w:rPr>
        <w:t xml:space="preserve">De rechtmatigheidsverantwoording </w:t>
      </w:r>
      <w:r w:rsidR="00875819">
        <w:rPr>
          <w:bCs/>
        </w:rPr>
        <w:t xml:space="preserve">kunt u </w:t>
      </w:r>
      <w:r w:rsidR="009C0ADC">
        <w:rPr>
          <w:bCs/>
        </w:rPr>
        <w:t xml:space="preserve">vinden </w:t>
      </w:r>
      <w:r w:rsidR="00875819">
        <w:rPr>
          <w:bCs/>
        </w:rPr>
        <w:t xml:space="preserve">in de jaarrekening </w:t>
      </w:r>
      <w:r w:rsidR="009C0ADC">
        <w:rPr>
          <w:bCs/>
        </w:rPr>
        <w:t>na de toelichting op de balans. In Pepperflow is hiervoor een aparte tegel opgenomen. De toelichting op de rechtmatigheidsverantwoording kunt u vinden in de paragraaf bedrijfsvoering.</w:t>
      </w:r>
    </w:p>
    <w:p w14:paraId="191772A8" w14:textId="77777777" w:rsidR="004C2212" w:rsidRDefault="004C2212" w:rsidP="000058DA">
      <w:pPr>
        <w:rPr>
          <w:b/>
          <w:caps/>
          <w:u w:val="single"/>
        </w:rPr>
      </w:pPr>
    </w:p>
    <w:p w14:paraId="16D64012" w14:textId="77777777" w:rsidR="000058DA" w:rsidRPr="000058DA" w:rsidRDefault="00671FE4" w:rsidP="000058DA">
      <w:pPr>
        <w:ind w:firstLine="284"/>
        <w:rPr>
          <w:b/>
          <w:caps/>
          <w:u w:val="single"/>
        </w:rPr>
      </w:pPr>
      <w:r w:rsidRPr="000058DA">
        <w:rPr>
          <w:b/>
          <w:caps/>
          <w:u w:val="single"/>
        </w:rPr>
        <w:t>Relatie met bestaand beleid en strategische visie / integraliteit</w:t>
      </w:r>
    </w:p>
    <w:p w14:paraId="467607F9" w14:textId="77777777" w:rsidR="005834B2" w:rsidRPr="00B611F8" w:rsidRDefault="005834B2" w:rsidP="005834B2">
      <w:pPr>
        <w:pStyle w:val="Geenafstand"/>
        <w:ind w:right="-426"/>
        <w:rPr>
          <w:rFonts w:ascii="Arial" w:hAnsi="Arial" w:cs="Arial"/>
          <w:szCs w:val="20"/>
        </w:rPr>
      </w:pPr>
      <w:r w:rsidRPr="00B611F8">
        <w:rPr>
          <w:rFonts w:ascii="Arial" w:eastAsia="Calibri" w:hAnsi="Arial" w:cs="Arial"/>
          <w:szCs w:val="20"/>
        </w:rPr>
        <w:t>De Jaarrekening maakt onderdeel uit van de planning en control cyclus. De behandeling van de jaarrekening is bij uitstek het moment om verantwoording af te leggen aan de raad over het door ons college gevoerde beleid.</w:t>
      </w:r>
    </w:p>
    <w:p w14:paraId="3464A544" w14:textId="5B00BD96" w:rsidR="0027719B" w:rsidRDefault="0027719B" w:rsidP="0027719B"/>
    <w:p w14:paraId="1424FA6C" w14:textId="77777777" w:rsidR="00D22C7D" w:rsidRPr="006F30D5" w:rsidRDefault="00D22C7D" w:rsidP="0027719B"/>
    <w:p w14:paraId="69A7B71B" w14:textId="77777777" w:rsidR="0027719B" w:rsidRPr="000058DA" w:rsidRDefault="00671FE4" w:rsidP="000058DA">
      <w:pPr>
        <w:ind w:firstLine="284"/>
        <w:rPr>
          <w:b/>
          <w:caps/>
          <w:u w:val="single"/>
        </w:rPr>
      </w:pPr>
      <w:r>
        <w:rPr>
          <w:b/>
          <w:caps/>
          <w:u w:val="single"/>
        </w:rPr>
        <w:t xml:space="preserve">Proces van </w:t>
      </w:r>
      <w:r w:rsidRPr="000058DA">
        <w:rPr>
          <w:b/>
          <w:caps/>
          <w:u w:val="single"/>
        </w:rPr>
        <w:t>Burgerparticipatie</w:t>
      </w:r>
    </w:p>
    <w:p w14:paraId="622877A6" w14:textId="5750DEDF" w:rsidR="00D22C7D" w:rsidRDefault="005834B2" w:rsidP="0027719B">
      <w:proofErr w:type="spellStart"/>
      <w:r>
        <w:t>nvt</w:t>
      </w:r>
      <w:proofErr w:type="spellEnd"/>
    </w:p>
    <w:p w14:paraId="45830A46" w14:textId="77777777" w:rsidR="000058DA" w:rsidRPr="00F6642D" w:rsidRDefault="000058DA" w:rsidP="0027719B"/>
    <w:p w14:paraId="4F2DF9A5" w14:textId="77777777" w:rsidR="0027719B" w:rsidRPr="000058DA" w:rsidRDefault="00671FE4" w:rsidP="000058DA">
      <w:pPr>
        <w:ind w:firstLine="284"/>
        <w:rPr>
          <w:b/>
          <w:bCs/>
          <w:caps/>
          <w:u w:val="single"/>
        </w:rPr>
      </w:pPr>
      <w:r w:rsidRPr="000058DA">
        <w:rPr>
          <w:b/>
          <w:bCs/>
          <w:caps/>
          <w:u w:val="single"/>
        </w:rPr>
        <w:t>Financiële aspecten</w:t>
      </w:r>
    </w:p>
    <w:p w14:paraId="31CEFD18" w14:textId="35945B0B" w:rsidR="00D22C7D" w:rsidRDefault="005834B2" w:rsidP="0027719B">
      <w:pPr>
        <w:widowControl w:val="0"/>
        <w:rPr>
          <w:rFonts w:ascii="Arial" w:hAnsi="Arial" w:cs="Arial"/>
          <w:szCs w:val="20"/>
        </w:rPr>
      </w:pPr>
      <w:r>
        <w:rPr>
          <w:rFonts w:ascii="Arial" w:hAnsi="Arial" w:cs="Arial"/>
          <w:szCs w:val="20"/>
        </w:rPr>
        <w:t>U</w:t>
      </w:r>
      <w:r w:rsidRPr="00396A16">
        <w:rPr>
          <w:rFonts w:ascii="Arial" w:hAnsi="Arial" w:cs="Arial"/>
          <w:szCs w:val="20"/>
        </w:rPr>
        <w:t xml:space="preserve">it </w:t>
      </w:r>
      <w:r>
        <w:rPr>
          <w:rFonts w:ascii="Arial" w:hAnsi="Arial" w:cs="Arial"/>
          <w:szCs w:val="20"/>
        </w:rPr>
        <w:t>o</w:t>
      </w:r>
      <w:r w:rsidRPr="00396A16">
        <w:rPr>
          <w:rFonts w:ascii="Arial" w:hAnsi="Arial" w:cs="Arial"/>
          <w:szCs w:val="20"/>
        </w:rPr>
        <w:t xml:space="preserve">nderstaande tabel </w:t>
      </w:r>
      <w:r>
        <w:rPr>
          <w:rFonts w:ascii="Arial" w:hAnsi="Arial" w:cs="Arial"/>
          <w:szCs w:val="20"/>
        </w:rPr>
        <w:t xml:space="preserve">blijkt </w:t>
      </w:r>
      <w:r w:rsidRPr="00396A16">
        <w:rPr>
          <w:rFonts w:ascii="Arial" w:hAnsi="Arial" w:cs="Arial"/>
          <w:szCs w:val="20"/>
        </w:rPr>
        <w:t xml:space="preserve">de vorming van het </w:t>
      </w:r>
      <w:r>
        <w:rPr>
          <w:rFonts w:ascii="Arial" w:hAnsi="Arial" w:cs="Arial"/>
          <w:szCs w:val="20"/>
        </w:rPr>
        <w:t>positieve</w:t>
      </w:r>
      <w:r w:rsidRPr="00396A16">
        <w:rPr>
          <w:rFonts w:ascii="Arial" w:hAnsi="Arial" w:cs="Arial"/>
          <w:szCs w:val="20"/>
        </w:rPr>
        <w:t xml:space="preserve"> resultaat over 20</w:t>
      </w:r>
      <w:r>
        <w:rPr>
          <w:rFonts w:ascii="Arial" w:hAnsi="Arial" w:cs="Arial"/>
          <w:szCs w:val="20"/>
        </w:rPr>
        <w:t>2</w:t>
      </w:r>
      <w:r w:rsidR="006B6424">
        <w:rPr>
          <w:rFonts w:ascii="Arial" w:hAnsi="Arial" w:cs="Arial"/>
          <w:szCs w:val="20"/>
        </w:rPr>
        <w:t>3</w:t>
      </w:r>
      <w:r w:rsidRPr="00396A16">
        <w:rPr>
          <w:rFonts w:ascii="Arial" w:hAnsi="Arial" w:cs="Arial"/>
          <w:szCs w:val="20"/>
        </w:rPr>
        <w:t>. De begroting na wijziging en de realisatie worden getoond.</w:t>
      </w:r>
    </w:p>
    <w:p w14:paraId="73F72B20" w14:textId="75C07850" w:rsidR="005834B2" w:rsidRDefault="006B6424" w:rsidP="0027719B">
      <w:pPr>
        <w:widowControl w:val="0"/>
        <w:rPr>
          <w:rFonts w:cs="Arial"/>
        </w:rPr>
      </w:pPr>
      <w:r w:rsidRPr="006B6424">
        <w:rPr>
          <w:noProof/>
        </w:rPr>
        <w:drawing>
          <wp:inline distT="0" distB="0" distL="0" distR="0" wp14:anchorId="3C2D124D" wp14:editId="5DC1255B">
            <wp:extent cx="6119495" cy="376364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3763645"/>
                    </a:xfrm>
                    <a:prstGeom prst="rect">
                      <a:avLst/>
                    </a:prstGeom>
                    <a:noFill/>
                    <a:ln>
                      <a:noFill/>
                    </a:ln>
                  </pic:spPr>
                </pic:pic>
              </a:graphicData>
            </a:graphic>
          </wp:inline>
        </w:drawing>
      </w:r>
    </w:p>
    <w:p w14:paraId="07098A8D" w14:textId="3A7A9A76" w:rsidR="00D609C6" w:rsidRDefault="00D609C6" w:rsidP="00D609C6">
      <w:pPr>
        <w:tabs>
          <w:tab w:val="left" w:pos="4320"/>
        </w:tabs>
      </w:pPr>
      <w:r>
        <w:lastRenderedPageBreak/>
        <w:br/>
        <w:t>Voorgesteld wordt het saldo als volgt te bestemmen:</w:t>
      </w:r>
    </w:p>
    <w:p w14:paraId="1414FAE6" w14:textId="77777777" w:rsidR="00D609C6" w:rsidRDefault="00D609C6" w:rsidP="00D609C6">
      <w:pPr>
        <w:pStyle w:val="Lijstalinea"/>
        <w:numPr>
          <w:ilvl w:val="0"/>
          <w:numId w:val="4"/>
        </w:numPr>
      </w:pPr>
      <w:r>
        <w:t>€ 1.261.646 te storten in de reserve huisvestingskosten vluchtelingen zoals door de raad besloten op 20-2-2024</w:t>
      </w:r>
    </w:p>
    <w:p w14:paraId="03E9FB76" w14:textId="77777777" w:rsidR="00D609C6" w:rsidRDefault="00D609C6" w:rsidP="00D609C6">
      <w:pPr>
        <w:pStyle w:val="Lijstalinea"/>
        <w:numPr>
          <w:ilvl w:val="0"/>
          <w:numId w:val="4"/>
        </w:numPr>
      </w:pPr>
      <w:r>
        <w:t xml:space="preserve">€ 400.000 te storten in de nieuw te storten reserve woningbouw </w:t>
      </w:r>
    </w:p>
    <w:p w14:paraId="4260904B" w14:textId="77777777" w:rsidR="00D609C6" w:rsidRDefault="00D609C6" w:rsidP="00D609C6">
      <w:pPr>
        <w:pStyle w:val="Lijstalinea"/>
        <w:numPr>
          <w:ilvl w:val="0"/>
          <w:numId w:val="4"/>
        </w:numPr>
        <w:spacing w:after="0" w:line="240" w:lineRule="auto"/>
      </w:pPr>
      <w:r>
        <w:t>€ 483.592 te storten in de algemene reserve</w:t>
      </w:r>
      <w:r>
        <w:br/>
      </w:r>
    </w:p>
    <w:p w14:paraId="0D8C7074" w14:textId="77777777" w:rsidR="00D609C6" w:rsidRDefault="00D609C6" w:rsidP="00D609C6">
      <w:pPr>
        <w:autoSpaceDE w:val="0"/>
        <w:autoSpaceDN w:val="0"/>
        <w:adjustRightInd w:val="0"/>
        <w:spacing w:after="0" w:line="240" w:lineRule="auto"/>
      </w:pPr>
      <w:r>
        <w:t>Voorgesteld wordt de nieuw in te stellen reserve te vormen onder de volgende voorwaarden”</w:t>
      </w:r>
    </w:p>
    <w:p w14:paraId="5FC2D87F" w14:textId="77777777" w:rsidR="00D609C6" w:rsidRDefault="00D609C6" w:rsidP="00D609C6">
      <w:pPr>
        <w:pStyle w:val="Lijstalinea"/>
        <w:numPr>
          <w:ilvl w:val="0"/>
          <w:numId w:val="6"/>
        </w:numPr>
        <w:autoSpaceDE w:val="0"/>
        <w:autoSpaceDN w:val="0"/>
        <w:adjustRightInd w:val="0"/>
        <w:spacing w:after="0" w:line="240" w:lineRule="auto"/>
        <w:rPr>
          <w:rFonts w:cstheme="minorHAnsi"/>
          <w:szCs w:val="20"/>
        </w:rPr>
      </w:pPr>
      <w:bookmarkStart w:id="0" w:name="_Hlk168049207"/>
      <w:r w:rsidRPr="000A3F04">
        <w:rPr>
          <w:rFonts w:cstheme="minorHAnsi"/>
          <w:szCs w:val="20"/>
        </w:rPr>
        <w:t>Beschikkingsbevoegdheid: College van Burgemeester en Wethouders.</w:t>
      </w:r>
    </w:p>
    <w:p w14:paraId="0CF2E8A6" w14:textId="77777777" w:rsidR="00D609C6" w:rsidRDefault="00D609C6" w:rsidP="00D609C6">
      <w:pPr>
        <w:pStyle w:val="Lijstalinea"/>
        <w:numPr>
          <w:ilvl w:val="0"/>
          <w:numId w:val="6"/>
        </w:numPr>
        <w:autoSpaceDE w:val="0"/>
        <w:autoSpaceDN w:val="0"/>
        <w:adjustRightInd w:val="0"/>
        <w:spacing w:after="0" w:line="240" w:lineRule="auto"/>
        <w:rPr>
          <w:rFonts w:cstheme="minorHAnsi"/>
          <w:szCs w:val="20"/>
        </w:rPr>
      </w:pPr>
      <w:r>
        <w:rPr>
          <w:rFonts w:cstheme="minorHAnsi"/>
          <w:szCs w:val="20"/>
        </w:rPr>
        <w:t xml:space="preserve">Doelstelling: De reserve wordt in gesteld ter voorfinanciering van voorbereidingskosten (capaciteit en onderzoek) voor de woningbouwopgave. Middels een anterieure overeenkomst bij faciliterend grondbeleid of winstneming bij eigen grondbeleid dienen deze kosten te worden terugverdiend. </w:t>
      </w:r>
    </w:p>
    <w:p w14:paraId="65D99860" w14:textId="77777777" w:rsidR="00D609C6" w:rsidRDefault="00D609C6" w:rsidP="00D609C6">
      <w:pPr>
        <w:pStyle w:val="Lijstalinea"/>
        <w:numPr>
          <w:ilvl w:val="0"/>
          <w:numId w:val="6"/>
        </w:numPr>
        <w:autoSpaceDE w:val="0"/>
        <w:autoSpaceDN w:val="0"/>
        <w:adjustRightInd w:val="0"/>
        <w:spacing w:after="0" w:line="240" w:lineRule="auto"/>
        <w:rPr>
          <w:rFonts w:cstheme="minorHAnsi"/>
          <w:szCs w:val="20"/>
        </w:rPr>
      </w:pPr>
      <w:r>
        <w:rPr>
          <w:rFonts w:cstheme="minorHAnsi"/>
          <w:szCs w:val="20"/>
        </w:rPr>
        <w:t>Toevoeging: € 400.000 wordt vanuit de algemene reserve gestort</w:t>
      </w:r>
    </w:p>
    <w:p w14:paraId="67B77AC8" w14:textId="77777777" w:rsidR="00D609C6" w:rsidRDefault="00D609C6" w:rsidP="00D609C6">
      <w:pPr>
        <w:pStyle w:val="Lijstalinea"/>
        <w:numPr>
          <w:ilvl w:val="0"/>
          <w:numId w:val="6"/>
        </w:numPr>
        <w:autoSpaceDE w:val="0"/>
        <w:autoSpaceDN w:val="0"/>
        <w:adjustRightInd w:val="0"/>
        <w:spacing w:after="0" w:line="240" w:lineRule="auto"/>
        <w:rPr>
          <w:rFonts w:cstheme="minorHAnsi"/>
          <w:szCs w:val="20"/>
        </w:rPr>
      </w:pPr>
      <w:r>
        <w:rPr>
          <w:rFonts w:cstheme="minorHAnsi"/>
          <w:szCs w:val="20"/>
        </w:rPr>
        <w:t>Onttrekking: Onttrekking vindt plaats in het kader van de doelstelling van de reserve</w:t>
      </w:r>
    </w:p>
    <w:p w14:paraId="04EE37AE" w14:textId="77777777" w:rsidR="00D609C6" w:rsidRDefault="00D609C6" w:rsidP="00D609C6">
      <w:pPr>
        <w:pStyle w:val="Lijstalinea"/>
        <w:numPr>
          <w:ilvl w:val="0"/>
          <w:numId w:val="6"/>
        </w:numPr>
        <w:autoSpaceDE w:val="0"/>
        <w:autoSpaceDN w:val="0"/>
        <w:adjustRightInd w:val="0"/>
        <w:spacing w:after="0" w:line="240" w:lineRule="auto"/>
        <w:rPr>
          <w:rFonts w:cstheme="minorHAnsi"/>
          <w:szCs w:val="20"/>
        </w:rPr>
      </w:pPr>
      <w:r>
        <w:rPr>
          <w:rFonts w:cstheme="minorHAnsi"/>
          <w:szCs w:val="20"/>
        </w:rPr>
        <w:t>Omvang: de maximale hoogte wordt gesteld op € 400.000</w:t>
      </w:r>
    </w:p>
    <w:p w14:paraId="41DACCB4" w14:textId="34A21A8D" w:rsidR="00D609C6" w:rsidRDefault="00D609C6" w:rsidP="00D609C6">
      <w:pPr>
        <w:pStyle w:val="Lijstalinea"/>
        <w:numPr>
          <w:ilvl w:val="0"/>
          <w:numId w:val="6"/>
        </w:numPr>
        <w:autoSpaceDE w:val="0"/>
        <w:autoSpaceDN w:val="0"/>
        <w:adjustRightInd w:val="0"/>
        <w:spacing w:after="0" w:line="240" w:lineRule="auto"/>
        <w:rPr>
          <w:rFonts w:cstheme="minorHAnsi"/>
          <w:szCs w:val="20"/>
        </w:rPr>
      </w:pPr>
      <w:r>
        <w:rPr>
          <w:rFonts w:cstheme="minorHAnsi"/>
          <w:szCs w:val="20"/>
        </w:rPr>
        <w:t>Looptijd: 5 jaar</w:t>
      </w:r>
      <w:r w:rsidR="00986749">
        <w:rPr>
          <w:rFonts w:cstheme="minorHAnsi"/>
          <w:szCs w:val="20"/>
        </w:rPr>
        <w:t>.</w:t>
      </w:r>
    </w:p>
    <w:bookmarkEnd w:id="0"/>
    <w:p w14:paraId="6CD04680" w14:textId="01EBDB9A" w:rsidR="000058DA" w:rsidRDefault="000058DA" w:rsidP="0027719B">
      <w:pPr>
        <w:widowControl w:val="0"/>
      </w:pPr>
    </w:p>
    <w:p w14:paraId="32E44B96" w14:textId="77777777" w:rsidR="006B6424" w:rsidRPr="00F6642D" w:rsidRDefault="006B6424" w:rsidP="0027719B">
      <w:pPr>
        <w:widowControl w:val="0"/>
        <w:rPr>
          <w:vanish/>
        </w:rPr>
      </w:pPr>
    </w:p>
    <w:p w14:paraId="0D2D92F7" w14:textId="77777777" w:rsidR="00D22C7D" w:rsidRPr="00F6642D" w:rsidRDefault="00D22C7D" w:rsidP="0027719B">
      <w:pPr>
        <w:widowControl w:val="0"/>
        <w:rPr>
          <w:rFonts w:cs="Arial"/>
        </w:rPr>
      </w:pPr>
    </w:p>
    <w:p w14:paraId="286BC7F4" w14:textId="77777777" w:rsidR="0027719B" w:rsidRDefault="00671FE4" w:rsidP="000058DA">
      <w:pPr>
        <w:widowControl w:val="0"/>
        <w:ind w:firstLine="284"/>
        <w:rPr>
          <w:rFonts w:cs="Arial"/>
          <w:b/>
          <w:caps/>
          <w:szCs w:val="20"/>
          <w:u w:val="single"/>
        </w:rPr>
      </w:pPr>
      <w:r w:rsidRPr="000058DA">
        <w:rPr>
          <w:rFonts w:cs="Arial"/>
          <w:b/>
          <w:caps/>
          <w:szCs w:val="20"/>
          <w:u w:val="single"/>
        </w:rPr>
        <w:t>Uitvoering en evaluatie</w:t>
      </w:r>
    </w:p>
    <w:p w14:paraId="1A1EB910" w14:textId="77777777" w:rsidR="005834B2" w:rsidRDefault="005834B2" w:rsidP="005834B2">
      <w:pPr>
        <w:pStyle w:val="Geenafstand"/>
        <w:ind w:right="-426"/>
        <w:rPr>
          <w:rFonts w:ascii="Arial" w:eastAsia="Calibri" w:hAnsi="Arial" w:cs="Arial"/>
          <w:szCs w:val="20"/>
        </w:rPr>
      </w:pPr>
      <w:r>
        <w:rPr>
          <w:rFonts w:ascii="Arial" w:eastAsia="Calibri" w:hAnsi="Arial" w:cs="Arial"/>
          <w:szCs w:val="20"/>
        </w:rPr>
        <w:t>Commissie planning en control: 11 juni 2024</w:t>
      </w:r>
      <w:r>
        <w:rPr>
          <w:rFonts w:ascii="Arial" w:eastAsia="Calibri" w:hAnsi="Arial" w:cs="Arial"/>
          <w:szCs w:val="20"/>
        </w:rPr>
        <w:br/>
        <w:t>Dialoogvergadering</w:t>
      </w:r>
      <w:r w:rsidRPr="00881EC0">
        <w:rPr>
          <w:rFonts w:ascii="Arial" w:eastAsia="Calibri" w:hAnsi="Arial" w:cs="Arial"/>
          <w:szCs w:val="20"/>
        </w:rPr>
        <w:t xml:space="preserve">: </w:t>
      </w:r>
      <w:r>
        <w:rPr>
          <w:rFonts w:ascii="Arial" w:eastAsia="Calibri" w:hAnsi="Arial" w:cs="Arial"/>
          <w:szCs w:val="20"/>
        </w:rPr>
        <w:t>24 en 25</w:t>
      </w:r>
      <w:r w:rsidRPr="00881EC0">
        <w:rPr>
          <w:rFonts w:ascii="Arial" w:eastAsia="Calibri" w:hAnsi="Arial" w:cs="Arial"/>
          <w:szCs w:val="20"/>
        </w:rPr>
        <w:t xml:space="preserve"> ju</w:t>
      </w:r>
      <w:r>
        <w:rPr>
          <w:rFonts w:ascii="Arial" w:eastAsia="Calibri" w:hAnsi="Arial" w:cs="Arial"/>
          <w:szCs w:val="20"/>
        </w:rPr>
        <w:t>ni</w:t>
      </w:r>
      <w:r w:rsidRPr="00881EC0">
        <w:rPr>
          <w:rFonts w:ascii="Arial" w:eastAsia="Calibri" w:hAnsi="Arial" w:cs="Arial"/>
          <w:szCs w:val="20"/>
        </w:rPr>
        <w:t xml:space="preserve"> 202</w:t>
      </w:r>
      <w:r>
        <w:rPr>
          <w:rFonts w:ascii="Arial" w:eastAsia="Calibri" w:hAnsi="Arial" w:cs="Arial"/>
          <w:szCs w:val="20"/>
        </w:rPr>
        <w:t>4</w:t>
      </w:r>
    </w:p>
    <w:p w14:paraId="27AE49A5" w14:textId="77777777" w:rsidR="005834B2" w:rsidRPr="003C1428" w:rsidRDefault="005834B2" w:rsidP="005834B2">
      <w:pPr>
        <w:pStyle w:val="Geenafstand"/>
        <w:ind w:right="-426"/>
        <w:rPr>
          <w:rFonts w:ascii="Arial" w:hAnsi="Arial" w:cs="Arial"/>
          <w:szCs w:val="20"/>
        </w:rPr>
      </w:pPr>
      <w:r w:rsidRPr="00881EC0">
        <w:rPr>
          <w:rFonts w:ascii="Arial" w:eastAsia="Calibri" w:hAnsi="Arial" w:cs="Arial"/>
          <w:szCs w:val="20"/>
        </w:rPr>
        <w:t xml:space="preserve">Oordeel/besluit vormende vergadering: </w:t>
      </w:r>
      <w:r>
        <w:rPr>
          <w:rFonts w:ascii="Arial" w:eastAsia="Calibri" w:hAnsi="Arial" w:cs="Arial"/>
          <w:szCs w:val="20"/>
        </w:rPr>
        <w:t>2 juli 2024</w:t>
      </w:r>
    </w:p>
    <w:p w14:paraId="145F9AA6" w14:textId="77777777" w:rsidR="0027719B" w:rsidRDefault="0027719B" w:rsidP="0027719B">
      <w:pPr>
        <w:widowControl w:val="0"/>
      </w:pPr>
    </w:p>
    <w:p w14:paraId="32BC9BE3" w14:textId="54B13747" w:rsidR="0033179E" w:rsidRDefault="0033179E" w:rsidP="000058DA">
      <w:pPr>
        <w:widowControl w:val="0"/>
      </w:pPr>
    </w:p>
    <w:p w14:paraId="2DA28FB6" w14:textId="507008B1" w:rsidR="001E7F63" w:rsidRDefault="001E7F63" w:rsidP="000058DA">
      <w:pPr>
        <w:widowControl w:val="0"/>
      </w:pPr>
    </w:p>
    <w:p w14:paraId="750A4464" w14:textId="77777777" w:rsidR="001E7F63" w:rsidRDefault="001E7F63" w:rsidP="000058DA">
      <w:pPr>
        <w:widowControl w:val="0"/>
      </w:pPr>
    </w:p>
    <w:tbl>
      <w:tblPr>
        <w:tblW w:w="6663" w:type="dxa"/>
        <w:tblBorders>
          <w:insideV w:val="single" w:sz="4" w:space="0" w:color="auto"/>
        </w:tblBorders>
        <w:tblLayout w:type="fixed"/>
        <w:tblLook w:val="01E0" w:firstRow="1" w:lastRow="1" w:firstColumn="1" w:lastColumn="1" w:noHBand="0" w:noVBand="0"/>
      </w:tblPr>
      <w:tblGrid>
        <w:gridCol w:w="2410"/>
        <w:gridCol w:w="4253"/>
      </w:tblGrid>
      <w:tr w:rsidR="00AB5842" w14:paraId="25FA44A7" w14:textId="77777777" w:rsidTr="00EC580B">
        <w:tc>
          <w:tcPr>
            <w:tcW w:w="6663" w:type="dxa"/>
            <w:gridSpan w:val="2"/>
          </w:tcPr>
          <w:p w14:paraId="08B5152E" w14:textId="77777777" w:rsidR="0033179E" w:rsidRDefault="00671FE4" w:rsidP="0033179E">
            <w:pPr>
              <w:widowControl w:val="0"/>
            </w:pPr>
            <w:r>
              <w:t>Het college van Eijsden-Margraten</w:t>
            </w:r>
          </w:p>
        </w:tc>
      </w:tr>
      <w:tr w:rsidR="00AB5842" w14:paraId="66692CD5" w14:textId="77777777" w:rsidTr="00EC580B">
        <w:tc>
          <w:tcPr>
            <w:tcW w:w="6663" w:type="dxa"/>
            <w:gridSpan w:val="2"/>
            <w:tcBorders>
              <w:bottom w:val="nil"/>
            </w:tcBorders>
          </w:tcPr>
          <w:p w14:paraId="0D288453" w14:textId="77777777" w:rsidR="0033179E" w:rsidRDefault="0033179E" w:rsidP="00EC580B">
            <w:pPr>
              <w:keepNext/>
              <w:keepLines/>
            </w:pPr>
          </w:p>
        </w:tc>
      </w:tr>
      <w:tr w:rsidR="00AB5842" w14:paraId="1BC02321" w14:textId="77777777" w:rsidTr="0033179E">
        <w:trPr>
          <w:trHeight w:val="378"/>
        </w:trPr>
        <w:tc>
          <w:tcPr>
            <w:tcW w:w="2410" w:type="dxa"/>
            <w:tcBorders>
              <w:right w:val="nil"/>
            </w:tcBorders>
          </w:tcPr>
          <w:p w14:paraId="6BE9C88F" w14:textId="77777777" w:rsidR="0033179E" w:rsidRDefault="00671FE4" w:rsidP="0033179E">
            <w:pPr>
              <w:keepNext/>
              <w:keepLines/>
              <w:tabs>
                <w:tab w:val="left" w:pos="2520"/>
                <w:tab w:val="left" w:pos="6480"/>
                <w:tab w:val="left" w:pos="6840"/>
              </w:tabs>
            </w:pPr>
            <w:r>
              <w:t>De Gemeentesecretaris,</w:t>
            </w:r>
          </w:p>
        </w:tc>
        <w:tc>
          <w:tcPr>
            <w:tcW w:w="4253" w:type="dxa"/>
            <w:tcBorders>
              <w:left w:val="nil"/>
            </w:tcBorders>
          </w:tcPr>
          <w:p w14:paraId="02C00659" w14:textId="77777777" w:rsidR="0033179E" w:rsidRDefault="00671FE4" w:rsidP="00EC580B">
            <w:pPr>
              <w:keepNext/>
              <w:keepLines/>
              <w:tabs>
                <w:tab w:val="left" w:pos="2520"/>
                <w:tab w:val="left" w:pos="6480"/>
                <w:tab w:val="left" w:pos="6840"/>
              </w:tabs>
            </w:pPr>
            <w:r>
              <w:t>De voorzitter,</w:t>
            </w:r>
          </w:p>
        </w:tc>
      </w:tr>
      <w:tr w:rsidR="00AB5842" w14:paraId="537B1E95" w14:textId="77777777" w:rsidTr="00EC580B">
        <w:tc>
          <w:tcPr>
            <w:tcW w:w="6663" w:type="dxa"/>
            <w:gridSpan w:val="2"/>
            <w:tcBorders>
              <w:bottom w:val="nil"/>
            </w:tcBorders>
          </w:tcPr>
          <w:p w14:paraId="35107591" w14:textId="77777777" w:rsidR="0033179E" w:rsidRDefault="0033179E" w:rsidP="00EC580B">
            <w:pPr>
              <w:keepNext/>
              <w:keepLines/>
              <w:tabs>
                <w:tab w:val="left" w:pos="2520"/>
              </w:tabs>
            </w:pPr>
          </w:p>
        </w:tc>
      </w:tr>
      <w:tr w:rsidR="00AB5842" w14:paraId="011EF24A" w14:textId="77777777" w:rsidTr="00EC580B">
        <w:trPr>
          <w:cantSplit/>
        </w:trPr>
        <w:tc>
          <w:tcPr>
            <w:tcW w:w="6663" w:type="dxa"/>
            <w:gridSpan w:val="2"/>
          </w:tcPr>
          <w:p w14:paraId="35510AFA" w14:textId="77777777" w:rsidR="0033179E" w:rsidRDefault="0033179E" w:rsidP="00EC580B">
            <w:pPr>
              <w:keepNext/>
              <w:keepLines/>
              <w:tabs>
                <w:tab w:val="left" w:pos="2520"/>
              </w:tabs>
            </w:pPr>
          </w:p>
        </w:tc>
      </w:tr>
      <w:tr w:rsidR="00AB5842" w14:paraId="41FEC71D" w14:textId="77777777" w:rsidTr="00EC580B">
        <w:tc>
          <w:tcPr>
            <w:tcW w:w="6663" w:type="dxa"/>
            <w:gridSpan w:val="2"/>
            <w:tcBorders>
              <w:bottom w:val="nil"/>
            </w:tcBorders>
          </w:tcPr>
          <w:p w14:paraId="1B41AFB7" w14:textId="77777777" w:rsidR="0033179E" w:rsidRDefault="0033179E" w:rsidP="00EC580B">
            <w:pPr>
              <w:keepNext/>
              <w:keepLines/>
              <w:tabs>
                <w:tab w:val="left" w:pos="2520"/>
              </w:tabs>
            </w:pPr>
          </w:p>
        </w:tc>
      </w:tr>
      <w:tr w:rsidR="00AB5842" w14:paraId="2E4F5715" w14:textId="77777777" w:rsidTr="0033179E">
        <w:trPr>
          <w:trHeight w:val="308"/>
        </w:trPr>
        <w:tc>
          <w:tcPr>
            <w:tcW w:w="2410" w:type="dxa"/>
            <w:tcBorders>
              <w:right w:val="nil"/>
            </w:tcBorders>
          </w:tcPr>
          <w:p w14:paraId="66297B63" w14:textId="77777777" w:rsidR="0033179E" w:rsidRDefault="00671FE4" w:rsidP="0033179E">
            <w:pPr>
              <w:widowControl w:val="0"/>
            </w:pPr>
            <w:r>
              <w:rPr>
                <w:bCs/>
                <w:noProof/>
              </w:rPr>
              <w:t xml:space="preserve">Drs. </w:t>
            </w:r>
            <w:r w:rsidR="0060192A">
              <w:rPr>
                <w:bCs/>
                <w:noProof/>
              </w:rPr>
              <w:t>J.M.F. Kool</w:t>
            </w:r>
            <w:r w:rsidRPr="0053411C">
              <w:rPr>
                <w:bCs/>
                <w:noProof/>
              </w:rPr>
              <w:tab/>
            </w:r>
          </w:p>
        </w:tc>
        <w:tc>
          <w:tcPr>
            <w:tcW w:w="4253" w:type="dxa"/>
            <w:tcBorders>
              <w:left w:val="nil"/>
            </w:tcBorders>
          </w:tcPr>
          <w:p w14:paraId="606F7103" w14:textId="77777777" w:rsidR="0033179E" w:rsidRDefault="00671FE4" w:rsidP="00EC580B">
            <w:pPr>
              <w:keepNext/>
              <w:keepLines/>
              <w:tabs>
                <w:tab w:val="left" w:pos="2520"/>
                <w:tab w:val="left" w:pos="6480"/>
              </w:tabs>
            </w:pPr>
            <w:r>
              <w:rPr>
                <w:bCs/>
                <w:noProof/>
              </w:rPr>
              <w:t>Mr</w:t>
            </w:r>
            <w:r w:rsidR="00F50F4B" w:rsidRPr="0053411C">
              <w:rPr>
                <w:bCs/>
                <w:noProof/>
              </w:rPr>
              <w:t xml:space="preserve">. </w:t>
            </w:r>
            <w:r>
              <w:rPr>
                <w:bCs/>
                <w:noProof/>
              </w:rPr>
              <w:t>A</w:t>
            </w:r>
            <w:r w:rsidR="00F50F4B" w:rsidRPr="0053411C">
              <w:rPr>
                <w:bCs/>
                <w:noProof/>
              </w:rPr>
              <w:t>.</w:t>
            </w:r>
            <w:r>
              <w:rPr>
                <w:bCs/>
                <w:noProof/>
              </w:rPr>
              <w:t>P.</w:t>
            </w:r>
            <w:r w:rsidR="00F50F4B" w:rsidRPr="0053411C">
              <w:rPr>
                <w:bCs/>
                <w:noProof/>
              </w:rPr>
              <w:t xml:space="preserve"> </w:t>
            </w:r>
            <w:r>
              <w:rPr>
                <w:bCs/>
                <w:noProof/>
              </w:rPr>
              <w:t>Krijnen</w:t>
            </w:r>
          </w:p>
        </w:tc>
      </w:tr>
    </w:tbl>
    <w:p w14:paraId="34CC960C" w14:textId="77777777" w:rsidR="0033179E" w:rsidRDefault="0033179E" w:rsidP="000058DA">
      <w:pPr>
        <w:widowControl w:val="0"/>
      </w:pPr>
    </w:p>
    <w:p w14:paraId="652B83FB" w14:textId="605D110C" w:rsidR="0027719B" w:rsidRDefault="00671FE4" w:rsidP="000058DA">
      <w:pPr>
        <w:widowControl w:val="0"/>
      </w:pPr>
      <w:r>
        <w:tab/>
      </w:r>
    </w:p>
    <w:p w14:paraId="51730FE5" w14:textId="77777777" w:rsidR="0027719B" w:rsidRDefault="0027719B" w:rsidP="000058DA">
      <w:pPr>
        <w:widowControl w:val="0"/>
      </w:pPr>
    </w:p>
    <w:p w14:paraId="4635AA9E" w14:textId="77777777" w:rsidR="0027719B" w:rsidRDefault="0027719B" w:rsidP="000058DA">
      <w:pPr>
        <w:widowControl w:val="0"/>
      </w:pPr>
    </w:p>
    <w:p w14:paraId="13DF54DB" w14:textId="77777777" w:rsidR="0027719B" w:rsidRPr="0053411C" w:rsidRDefault="0027719B" w:rsidP="0027719B">
      <w:pPr>
        <w:widowControl w:val="0"/>
        <w:rPr>
          <w:bCs/>
          <w:noProof/>
        </w:rPr>
      </w:pPr>
    </w:p>
    <w:tbl>
      <w:tblPr>
        <w:tblStyle w:val="Tabelraster"/>
        <w:tblW w:w="0" w:type="auto"/>
        <w:tblLayout w:type="fixed"/>
        <w:tblLook w:val="04A0" w:firstRow="1" w:lastRow="0" w:firstColumn="1" w:lastColumn="0" w:noHBand="0" w:noVBand="1"/>
      </w:tblPr>
      <w:tblGrid>
        <w:gridCol w:w="5807"/>
        <w:gridCol w:w="1559"/>
        <w:gridCol w:w="1985"/>
      </w:tblGrid>
      <w:tr w:rsidR="00AB5842" w14:paraId="31990AB2" w14:textId="77777777" w:rsidTr="00DD2C54">
        <w:tc>
          <w:tcPr>
            <w:tcW w:w="5807" w:type="dxa"/>
          </w:tcPr>
          <w:p w14:paraId="79C706C9" w14:textId="77777777" w:rsidR="00FE47B0" w:rsidRPr="004C53B2" w:rsidRDefault="00671FE4" w:rsidP="00DD2C54">
            <w:pPr>
              <w:pStyle w:val="Geenafstand"/>
              <w:rPr>
                <w:b/>
                <w:bCs/>
              </w:rPr>
            </w:pPr>
            <w:r w:rsidRPr="004C53B2">
              <w:rPr>
                <w:b/>
                <w:bCs/>
              </w:rPr>
              <w:t>Bijlagenaam</w:t>
            </w:r>
          </w:p>
        </w:tc>
        <w:tc>
          <w:tcPr>
            <w:tcW w:w="1559" w:type="dxa"/>
          </w:tcPr>
          <w:p w14:paraId="635C33D2" w14:textId="77777777" w:rsidR="00FE47B0" w:rsidRPr="004C53B2" w:rsidRDefault="00671FE4" w:rsidP="00DD2C54">
            <w:pPr>
              <w:pStyle w:val="Geenafstand"/>
              <w:rPr>
                <w:b/>
                <w:bCs/>
              </w:rPr>
            </w:pPr>
            <w:r w:rsidRPr="004C53B2">
              <w:rPr>
                <w:b/>
                <w:bCs/>
              </w:rPr>
              <w:t>Zaaknummer</w:t>
            </w:r>
          </w:p>
        </w:tc>
        <w:tc>
          <w:tcPr>
            <w:tcW w:w="1985" w:type="dxa"/>
          </w:tcPr>
          <w:p w14:paraId="633CE138" w14:textId="77777777" w:rsidR="00FE47B0" w:rsidRPr="004C53B2" w:rsidRDefault="00671FE4" w:rsidP="00DD2C54">
            <w:pPr>
              <w:pStyle w:val="Geenafstand"/>
              <w:rPr>
                <w:b/>
                <w:bCs/>
              </w:rPr>
            </w:pPr>
            <w:r w:rsidRPr="004C53B2">
              <w:rPr>
                <w:b/>
                <w:bCs/>
              </w:rPr>
              <w:t>Documentnummer</w:t>
            </w:r>
          </w:p>
        </w:tc>
      </w:tr>
      <w:tr w:rsidR="00AB5842" w14:paraId="6CB76E73" w14:textId="77777777" w:rsidTr="00DD2C54">
        <w:tc>
          <w:tcPr>
            <w:tcW w:w="5807" w:type="dxa"/>
          </w:tcPr>
          <w:p w14:paraId="573C10F9" w14:textId="459B3551" w:rsidR="00AC5B6B" w:rsidRPr="006A29B3" w:rsidRDefault="00C72198" w:rsidP="00DD2C54">
            <w:r w:rsidRPr="009602C8">
              <w:t>Programmarekening 2023</w:t>
            </w:r>
          </w:p>
        </w:tc>
        <w:tc>
          <w:tcPr>
            <w:tcW w:w="1559" w:type="dxa"/>
          </w:tcPr>
          <w:p w14:paraId="36641725" w14:textId="7FA6C55D" w:rsidR="00AC5B6B" w:rsidRPr="006A29B3" w:rsidRDefault="00671FE4" w:rsidP="00DD2C54">
            <w:r>
              <w:rPr>
                <w:rFonts w:ascii="Calibri" w:eastAsia="Calibri" w:hAnsi="Calibri" w:cs="Calibri"/>
                <w:sz w:val="22"/>
              </w:rPr>
              <w:t>Z/</w:t>
            </w:r>
            <w:r w:rsidR="00C72198">
              <w:rPr>
                <w:rFonts w:ascii="Calibri" w:eastAsia="Calibri" w:hAnsi="Calibri" w:cs="Calibri"/>
                <w:sz w:val="22"/>
              </w:rPr>
              <w:t>182312</w:t>
            </w:r>
          </w:p>
        </w:tc>
        <w:tc>
          <w:tcPr>
            <w:tcW w:w="1985" w:type="dxa"/>
          </w:tcPr>
          <w:p w14:paraId="38D8B57E" w14:textId="404D56E0" w:rsidR="00AC5B6B" w:rsidRPr="006A29B3" w:rsidRDefault="007171DA" w:rsidP="00DD2C54">
            <w:r>
              <w:t>847663</w:t>
            </w:r>
          </w:p>
        </w:tc>
      </w:tr>
    </w:tbl>
    <w:p w14:paraId="54151D26" w14:textId="77777777" w:rsidR="00A10C61" w:rsidRDefault="00671FE4">
      <w:pPr>
        <w:spacing w:after="160" w:line="259" w:lineRule="auto"/>
      </w:pPr>
      <w:r>
        <w:br w:type="page"/>
      </w:r>
    </w:p>
    <w:p w14:paraId="490C1FE2" w14:textId="77777777" w:rsidR="0027719B" w:rsidRDefault="00671FE4" w:rsidP="0027719B">
      <w:pPr>
        <w:widowControl w:val="0"/>
      </w:pPr>
      <w:r>
        <w:object w:dxaOrig="4530" w:dyaOrig="2820" w14:anchorId="6013E5A1">
          <v:shape id="_x0000_i1026" type="#_x0000_t75" style="width:226.75pt;height:140.8pt" o:ole="">
            <v:imagedata r:id="rId9" o:title="" croptop="4295f" cropbottom="4295f" cropleft="1476f" cropright="1476f"/>
          </v:shape>
          <o:OLEObject Type="Embed" ProgID="MSPhotoEd.3" ShapeID="_x0000_i1026" DrawAspect="Content" ObjectID="_1780399405" r:id="rId12"/>
        </w:object>
      </w:r>
    </w:p>
    <w:p w14:paraId="712FFC36" w14:textId="77777777" w:rsidR="0027719B" w:rsidRDefault="0027719B" w:rsidP="0027719B">
      <w:pPr>
        <w:widowControl w:val="0"/>
      </w:pPr>
    </w:p>
    <w:p w14:paraId="58EB9F06" w14:textId="77777777" w:rsidR="0027719B" w:rsidRPr="000058DA" w:rsidRDefault="00671FE4" w:rsidP="000058DA">
      <w:pPr>
        <w:widowControl w:val="0"/>
        <w:rPr>
          <w:b/>
          <w:color w:val="008BBC"/>
          <w:sz w:val="28"/>
          <w:szCs w:val="28"/>
        </w:rPr>
      </w:pPr>
      <w:r w:rsidRPr="000058DA">
        <w:rPr>
          <w:b/>
          <w:color w:val="008BBC"/>
          <w:sz w:val="28"/>
          <w:szCs w:val="28"/>
        </w:rPr>
        <w:t>RAADSBESLUIT</w:t>
      </w:r>
    </w:p>
    <w:p w14:paraId="60E09DA0" w14:textId="77777777" w:rsidR="0027719B" w:rsidRPr="00393BF7" w:rsidRDefault="0027719B" w:rsidP="0027719B">
      <w:pPr>
        <w:widowControl w:val="0"/>
      </w:pPr>
    </w:p>
    <w:p w14:paraId="240BDB9E" w14:textId="77777777" w:rsidR="0027719B" w:rsidRDefault="00671FE4" w:rsidP="0027719B">
      <w:pPr>
        <w:widowControl w:val="0"/>
      </w:pPr>
      <w:r>
        <w:t>De raad van de gemeente Eijsden-Margraten</w:t>
      </w:r>
    </w:p>
    <w:p w14:paraId="75F503BA" w14:textId="77777777" w:rsidR="0027719B" w:rsidRDefault="0027719B" w:rsidP="0027719B">
      <w:pPr>
        <w:widowControl w:val="0"/>
      </w:pPr>
    </w:p>
    <w:p w14:paraId="539CF3C6" w14:textId="77777777" w:rsidR="0027719B" w:rsidRDefault="00671FE4" w:rsidP="0027719B">
      <w:pPr>
        <w:widowControl w:val="0"/>
      </w:pPr>
      <w:r>
        <w:t>gelezen het voorstel van burgemeester en wethouders;</w:t>
      </w:r>
    </w:p>
    <w:p w14:paraId="4740E0D9" w14:textId="77777777" w:rsidR="0027719B" w:rsidRDefault="0027719B" w:rsidP="0027719B">
      <w:pPr>
        <w:widowControl w:val="0"/>
      </w:pPr>
    </w:p>
    <w:p w14:paraId="1EFED095" w14:textId="77777777" w:rsidR="0027719B" w:rsidRDefault="00671FE4" w:rsidP="0027719B">
      <w:pPr>
        <w:widowControl w:val="0"/>
      </w:pPr>
      <w:r>
        <w:t xml:space="preserve">gelet op de behandeling in de </w:t>
      </w:r>
      <w:r w:rsidRPr="00385021">
        <w:t>Dialoogvergadering Samenleving</w:t>
      </w:r>
      <w:r>
        <w:t>;</w:t>
      </w:r>
    </w:p>
    <w:p w14:paraId="50AE19CA" w14:textId="77777777" w:rsidR="0027719B" w:rsidRDefault="0027719B" w:rsidP="0027719B">
      <w:pPr>
        <w:widowControl w:val="0"/>
      </w:pPr>
    </w:p>
    <w:p w14:paraId="4220356C" w14:textId="77777777" w:rsidR="0027719B" w:rsidRDefault="0027719B" w:rsidP="0027719B">
      <w:pPr>
        <w:widowControl w:val="0"/>
      </w:pPr>
    </w:p>
    <w:p w14:paraId="68AE3E4F" w14:textId="77777777" w:rsidR="0027719B" w:rsidRPr="00BF0A5D" w:rsidRDefault="00671FE4" w:rsidP="00BF0A5D">
      <w:pPr>
        <w:widowControl w:val="0"/>
        <w:ind w:left="1418" w:hanging="1134"/>
        <w:rPr>
          <w:b/>
          <w:caps/>
          <w:u w:val="single"/>
        </w:rPr>
      </w:pPr>
      <w:r w:rsidRPr="00BF0A5D">
        <w:rPr>
          <w:b/>
          <w:caps/>
          <w:u w:val="single"/>
        </w:rPr>
        <w:t>Besluit</w:t>
      </w:r>
    </w:p>
    <w:p w14:paraId="724C16BA" w14:textId="663EF008" w:rsidR="00C532C3" w:rsidRDefault="00C532C3" w:rsidP="00C532C3">
      <w:pPr>
        <w:pStyle w:val="Lijstalinea"/>
        <w:numPr>
          <w:ilvl w:val="0"/>
          <w:numId w:val="3"/>
        </w:numPr>
      </w:pPr>
      <w:r>
        <w:rPr>
          <w:rStyle w:val="Stijl1"/>
        </w:rPr>
        <w:t xml:space="preserve">De </w:t>
      </w:r>
      <w:r w:rsidRPr="00C93335">
        <w:t>jaarrekening 20</w:t>
      </w:r>
      <w:r>
        <w:t>23</w:t>
      </w:r>
      <w:r w:rsidRPr="00C93335">
        <w:t xml:space="preserve"> </w:t>
      </w:r>
      <w:r>
        <w:t>vast te stellen;</w:t>
      </w:r>
    </w:p>
    <w:p w14:paraId="6C10E351" w14:textId="12B08CAF" w:rsidR="00C532C3" w:rsidRDefault="00C532C3" w:rsidP="00C532C3">
      <w:pPr>
        <w:pStyle w:val="Lijstalinea"/>
        <w:numPr>
          <w:ilvl w:val="0"/>
          <w:numId w:val="3"/>
        </w:numPr>
      </w:pPr>
      <w:r>
        <w:t>Het positieve saldo van € 2.145.238 als volgt te bestemmen:</w:t>
      </w:r>
    </w:p>
    <w:p w14:paraId="5EED7D1B" w14:textId="77777777" w:rsidR="00C532C3" w:rsidRDefault="00C532C3" w:rsidP="00C532C3">
      <w:pPr>
        <w:pStyle w:val="Lijstalinea"/>
        <w:numPr>
          <w:ilvl w:val="0"/>
          <w:numId w:val="4"/>
        </w:numPr>
      </w:pPr>
      <w:r>
        <w:t>€ 1.261.646 te storten in de reserve huisvestingskosten vluchtelingen zoals door uw raad besloten op 20-2-2024</w:t>
      </w:r>
    </w:p>
    <w:p w14:paraId="57E55730" w14:textId="0DA8DC47" w:rsidR="00C532C3" w:rsidRDefault="00C532C3" w:rsidP="00C532C3">
      <w:pPr>
        <w:pStyle w:val="Lijstalinea"/>
        <w:numPr>
          <w:ilvl w:val="0"/>
          <w:numId w:val="4"/>
        </w:numPr>
      </w:pPr>
      <w:r>
        <w:t xml:space="preserve">€ 400.000 te storten in de nieuw te storten reserve woningbouw </w:t>
      </w:r>
    </w:p>
    <w:p w14:paraId="22173DE0" w14:textId="666FAF47" w:rsidR="00C532C3" w:rsidRDefault="00C532C3" w:rsidP="00C532C3">
      <w:pPr>
        <w:pStyle w:val="Lijstalinea"/>
        <w:numPr>
          <w:ilvl w:val="0"/>
          <w:numId w:val="4"/>
        </w:numPr>
      </w:pPr>
      <w:r>
        <w:t>€ 483.592 te storten in de algemene reserve</w:t>
      </w:r>
    </w:p>
    <w:p w14:paraId="2F36242A" w14:textId="77777777" w:rsidR="00C532C3" w:rsidRDefault="00C532C3" w:rsidP="00C532C3">
      <w:pPr>
        <w:pStyle w:val="Lijstalinea"/>
        <w:numPr>
          <w:ilvl w:val="0"/>
          <w:numId w:val="3"/>
        </w:numPr>
      </w:pPr>
      <w:r>
        <w:t>In te stellen de reserve woningbouw met de volgende voorwaarden:</w:t>
      </w:r>
    </w:p>
    <w:p w14:paraId="2D749A2B" w14:textId="77777777"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sidRPr="000A3F04">
        <w:rPr>
          <w:rFonts w:cstheme="minorHAnsi"/>
          <w:szCs w:val="20"/>
        </w:rPr>
        <w:t>Beschikkingsbevoegdheid: College van Burgemeester en Wethouders.</w:t>
      </w:r>
    </w:p>
    <w:p w14:paraId="6D4B34B1" w14:textId="7BA3869A"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Pr>
          <w:rFonts w:cstheme="minorHAnsi"/>
          <w:szCs w:val="20"/>
        </w:rPr>
        <w:t xml:space="preserve">Doelstelling: De reserve wordt in gesteld </w:t>
      </w:r>
      <w:r w:rsidR="00D8531A">
        <w:rPr>
          <w:rFonts w:cstheme="minorHAnsi"/>
          <w:szCs w:val="20"/>
        </w:rPr>
        <w:t xml:space="preserve">ter voorfinanciering van </w:t>
      </w:r>
      <w:r>
        <w:rPr>
          <w:rFonts w:cstheme="minorHAnsi"/>
          <w:szCs w:val="20"/>
        </w:rPr>
        <w:t>voorbereidingskosten (capaciteit en onderzoek) voor de woningbouwopgave.</w:t>
      </w:r>
      <w:r w:rsidR="00D8531A">
        <w:rPr>
          <w:rFonts w:cstheme="minorHAnsi"/>
          <w:szCs w:val="20"/>
        </w:rPr>
        <w:t xml:space="preserve"> Middels een anterieure overeenkomst bij faciliterend grondbeleid of winstneming bij eigen grondbeleid dienen deze kosten te worden terugverdiend. </w:t>
      </w:r>
    </w:p>
    <w:p w14:paraId="793158AB" w14:textId="77777777"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Pr>
          <w:rFonts w:cstheme="minorHAnsi"/>
          <w:szCs w:val="20"/>
        </w:rPr>
        <w:t>Toevoeging: € 400.000 wordt vanuit de algemene reserve gestort</w:t>
      </w:r>
    </w:p>
    <w:p w14:paraId="75238763" w14:textId="77777777"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Pr>
          <w:rFonts w:cstheme="minorHAnsi"/>
          <w:szCs w:val="20"/>
        </w:rPr>
        <w:t>Onttrekking: Onttrekking vindt plaats in het kader van de doelstelling van de reserve</w:t>
      </w:r>
    </w:p>
    <w:p w14:paraId="6F0DD720" w14:textId="77777777"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Pr>
          <w:rFonts w:cstheme="minorHAnsi"/>
          <w:szCs w:val="20"/>
        </w:rPr>
        <w:t>Omvang: de maximale hoogte wordt gesteld op € 400.000</w:t>
      </w:r>
    </w:p>
    <w:p w14:paraId="0102D1B4" w14:textId="77777777" w:rsidR="00C532C3" w:rsidRDefault="00C532C3" w:rsidP="00C532C3">
      <w:pPr>
        <w:pStyle w:val="Lijstalinea"/>
        <w:numPr>
          <w:ilvl w:val="0"/>
          <w:numId w:val="7"/>
        </w:numPr>
        <w:autoSpaceDE w:val="0"/>
        <w:autoSpaceDN w:val="0"/>
        <w:adjustRightInd w:val="0"/>
        <w:spacing w:after="0" w:line="240" w:lineRule="auto"/>
        <w:rPr>
          <w:rFonts w:cstheme="minorHAnsi"/>
          <w:szCs w:val="20"/>
        </w:rPr>
      </w:pPr>
      <w:r>
        <w:rPr>
          <w:rFonts w:cstheme="minorHAnsi"/>
          <w:szCs w:val="20"/>
        </w:rPr>
        <w:t>Looptijd: de reserve kent vooralsnog een looptijd van 5 jaar</w:t>
      </w:r>
    </w:p>
    <w:p w14:paraId="7F9940E0" w14:textId="36DCF4F9" w:rsidR="00404510" w:rsidRPr="00725917" w:rsidRDefault="00404510" w:rsidP="00C532C3">
      <w:pPr>
        <w:widowControl w:val="0"/>
        <w:rPr>
          <w:rFonts w:cs="Arial"/>
        </w:rPr>
      </w:pPr>
    </w:p>
    <w:p w14:paraId="355ACBF5" w14:textId="77777777" w:rsidR="00404510" w:rsidRDefault="00404510" w:rsidP="0027719B">
      <w:pPr>
        <w:widowControl w:val="0"/>
        <w:rPr>
          <w:rFonts w:cs="Arial"/>
        </w:rPr>
      </w:pPr>
    </w:p>
    <w:p w14:paraId="774F5622" w14:textId="77777777" w:rsidR="0027719B" w:rsidRDefault="00671FE4" w:rsidP="0027719B">
      <w:pPr>
        <w:widowControl w:val="0"/>
        <w:rPr>
          <w:rFonts w:cs="Arial"/>
        </w:rPr>
      </w:pPr>
      <w:r w:rsidRPr="00725917">
        <w:rPr>
          <w:rFonts w:cs="Arial"/>
        </w:rPr>
        <w:t>Aldus besloten in de openbare vergadering van</w:t>
      </w:r>
      <w:r>
        <w:rPr>
          <w:rFonts w:cs="Arial"/>
        </w:rPr>
        <w:t xml:space="preserve"> 3 juli 2024.</w:t>
      </w:r>
    </w:p>
    <w:p w14:paraId="25329B98" w14:textId="77777777" w:rsidR="0027719B" w:rsidRDefault="0027719B" w:rsidP="0027719B">
      <w:pPr>
        <w:widowControl w:val="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5842" w14:paraId="4EBA100D" w14:textId="77777777" w:rsidTr="00463AA7">
        <w:tc>
          <w:tcPr>
            <w:tcW w:w="4531" w:type="dxa"/>
          </w:tcPr>
          <w:p w14:paraId="2187E4D2" w14:textId="77777777" w:rsidR="00463AA7" w:rsidRPr="00463AA7" w:rsidRDefault="00671FE4" w:rsidP="0027719B">
            <w:pPr>
              <w:widowControl w:val="0"/>
              <w:rPr>
                <w:bCs/>
              </w:rPr>
            </w:pPr>
            <w:r w:rsidRPr="00463AA7">
              <w:rPr>
                <w:bCs/>
              </w:rPr>
              <w:t>De griffier</w:t>
            </w:r>
          </w:p>
        </w:tc>
        <w:tc>
          <w:tcPr>
            <w:tcW w:w="4531" w:type="dxa"/>
          </w:tcPr>
          <w:p w14:paraId="75621484" w14:textId="77777777" w:rsidR="00463AA7" w:rsidRPr="00463AA7" w:rsidRDefault="00671FE4" w:rsidP="0027719B">
            <w:pPr>
              <w:widowControl w:val="0"/>
              <w:rPr>
                <w:bCs/>
              </w:rPr>
            </w:pPr>
            <w:r w:rsidRPr="00463AA7">
              <w:rPr>
                <w:bCs/>
              </w:rPr>
              <w:t>De voorzitter</w:t>
            </w:r>
          </w:p>
        </w:tc>
      </w:tr>
      <w:tr w:rsidR="00AB5842" w14:paraId="380D6CD1" w14:textId="77777777" w:rsidTr="00463AA7">
        <w:tc>
          <w:tcPr>
            <w:tcW w:w="4531" w:type="dxa"/>
          </w:tcPr>
          <w:p w14:paraId="5306A58D" w14:textId="77777777" w:rsidR="00463AA7" w:rsidRPr="00463AA7" w:rsidRDefault="00463AA7" w:rsidP="0027719B">
            <w:pPr>
              <w:widowControl w:val="0"/>
              <w:rPr>
                <w:bCs/>
              </w:rPr>
            </w:pPr>
          </w:p>
        </w:tc>
        <w:tc>
          <w:tcPr>
            <w:tcW w:w="4531" w:type="dxa"/>
          </w:tcPr>
          <w:p w14:paraId="410A0277" w14:textId="77777777" w:rsidR="00463AA7" w:rsidRPr="00463AA7" w:rsidRDefault="00463AA7" w:rsidP="0027719B">
            <w:pPr>
              <w:widowControl w:val="0"/>
              <w:rPr>
                <w:bCs/>
              </w:rPr>
            </w:pPr>
          </w:p>
        </w:tc>
      </w:tr>
      <w:tr w:rsidR="00AB5842" w14:paraId="7F440329" w14:textId="77777777" w:rsidTr="00463AA7">
        <w:tc>
          <w:tcPr>
            <w:tcW w:w="4531" w:type="dxa"/>
          </w:tcPr>
          <w:p w14:paraId="761462BE" w14:textId="77777777" w:rsidR="00463AA7" w:rsidRPr="00463AA7" w:rsidRDefault="00671FE4" w:rsidP="0027719B">
            <w:pPr>
              <w:widowControl w:val="0"/>
              <w:rPr>
                <w:bCs/>
              </w:rPr>
            </w:pPr>
            <w:r>
              <w:t>Mr. M.</w:t>
            </w:r>
            <w:r w:rsidR="003430E7">
              <w:t>G.A.J.T.</w:t>
            </w:r>
            <w:r>
              <w:t xml:space="preserve"> Verbeet</w:t>
            </w:r>
          </w:p>
        </w:tc>
        <w:tc>
          <w:tcPr>
            <w:tcW w:w="4531" w:type="dxa"/>
          </w:tcPr>
          <w:p w14:paraId="071D048B" w14:textId="77777777" w:rsidR="00463AA7" w:rsidRPr="00463AA7" w:rsidRDefault="00671FE4" w:rsidP="0027719B">
            <w:pPr>
              <w:widowControl w:val="0"/>
              <w:rPr>
                <w:bCs/>
              </w:rPr>
            </w:pPr>
            <w:r>
              <w:rPr>
                <w:bCs/>
                <w:noProof/>
              </w:rPr>
              <w:t>Mr</w:t>
            </w:r>
            <w:r w:rsidR="00F50F4B" w:rsidRPr="0053411C">
              <w:rPr>
                <w:bCs/>
                <w:noProof/>
              </w:rPr>
              <w:t xml:space="preserve">. </w:t>
            </w:r>
            <w:r>
              <w:rPr>
                <w:bCs/>
                <w:noProof/>
              </w:rPr>
              <w:t>A</w:t>
            </w:r>
            <w:r w:rsidR="00F50F4B" w:rsidRPr="0053411C">
              <w:rPr>
                <w:bCs/>
                <w:noProof/>
              </w:rPr>
              <w:t>.</w:t>
            </w:r>
            <w:r>
              <w:rPr>
                <w:bCs/>
                <w:noProof/>
              </w:rPr>
              <w:t>P.</w:t>
            </w:r>
            <w:r w:rsidR="00F50F4B" w:rsidRPr="0053411C">
              <w:rPr>
                <w:bCs/>
                <w:noProof/>
              </w:rPr>
              <w:t xml:space="preserve"> </w:t>
            </w:r>
            <w:r>
              <w:rPr>
                <w:bCs/>
                <w:noProof/>
              </w:rPr>
              <w:t>Krijnen</w:t>
            </w:r>
          </w:p>
        </w:tc>
      </w:tr>
      <w:tr w:rsidR="00AB5842" w14:paraId="063A82C0" w14:textId="77777777" w:rsidTr="00463AA7">
        <w:tc>
          <w:tcPr>
            <w:tcW w:w="4531" w:type="dxa"/>
          </w:tcPr>
          <w:p w14:paraId="6F3A44B6" w14:textId="77777777" w:rsidR="00463AA7" w:rsidRDefault="00463AA7" w:rsidP="0027719B">
            <w:pPr>
              <w:widowControl w:val="0"/>
              <w:rPr>
                <w:b/>
              </w:rPr>
            </w:pPr>
          </w:p>
        </w:tc>
        <w:tc>
          <w:tcPr>
            <w:tcW w:w="4531" w:type="dxa"/>
          </w:tcPr>
          <w:p w14:paraId="296AEE08" w14:textId="77777777" w:rsidR="00463AA7" w:rsidRDefault="00463AA7" w:rsidP="0027719B">
            <w:pPr>
              <w:widowControl w:val="0"/>
              <w:rPr>
                <w:b/>
              </w:rPr>
            </w:pPr>
          </w:p>
        </w:tc>
      </w:tr>
    </w:tbl>
    <w:p w14:paraId="33CD37D7" w14:textId="77777777" w:rsidR="00695BEB" w:rsidRPr="00674DF7" w:rsidRDefault="00695BEB" w:rsidP="00A508AD"/>
    <w:sectPr w:rsidR="00695BEB" w:rsidRPr="00674DF7" w:rsidSect="0091538D">
      <w:footerReference w:type="defaul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2DC6" w14:textId="77777777" w:rsidR="006D0548" w:rsidRDefault="006D0548">
      <w:pPr>
        <w:spacing w:after="0" w:line="240" w:lineRule="auto"/>
      </w:pPr>
      <w:r>
        <w:separator/>
      </w:r>
    </w:p>
  </w:endnote>
  <w:endnote w:type="continuationSeparator" w:id="0">
    <w:p w14:paraId="063466F1" w14:textId="77777777" w:rsidR="006D0548" w:rsidRDefault="006D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s Code 39">
    <w:panose1 w:val="00000409000000000000"/>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54080"/>
      <w:docPartObj>
        <w:docPartGallery w:val="Page Numbers (Bottom of Page)"/>
        <w:docPartUnique/>
      </w:docPartObj>
    </w:sdtPr>
    <w:sdtEndPr/>
    <w:sdtContent>
      <w:p w14:paraId="198A6F35" w14:textId="77777777" w:rsidR="00E10F0F" w:rsidRDefault="00671FE4">
        <w:pPr>
          <w:pStyle w:val="Voettekst"/>
          <w:rPr>
            <w:color w:val="0070C0"/>
            <w:sz w:val="16"/>
            <w:szCs w:val="16"/>
          </w:rPr>
        </w:pPr>
        <w:r>
          <w:rPr>
            <w:noProof/>
            <w:color w:val="0070C0"/>
            <w:sz w:val="16"/>
            <w:szCs w:val="16"/>
          </w:rPr>
          <w:pict w14:anchorId="2EF6A740">
            <v:rect id="Rechthoek 1" o:spid="_x0000_s1025"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filled="f" fillcolor="#c0504d" stroked="f" strokecolor="#5c83b4" strokeweight="2.25pt">
              <v:textbox inset=",0,,0">
                <w:txbxContent>
                  <w:p w14:paraId="477B2096" w14:textId="77777777" w:rsidR="00E10F0F" w:rsidRPr="00E10F0F" w:rsidRDefault="00671FE4">
                    <w:pPr>
                      <w:pBdr>
                        <w:top w:val="single" w:sz="4" w:space="1" w:color="7F7F7F" w:themeColor="background1" w:themeShade="7F"/>
                      </w:pBdr>
                      <w:jc w:val="center"/>
                    </w:pPr>
                    <w:r w:rsidRPr="00E10F0F">
                      <w:fldChar w:fldCharType="begin"/>
                    </w:r>
                    <w:r w:rsidRPr="00E10F0F">
                      <w:instrText>PAGE   \* MERGEFORMAT</w:instrText>
                    </w:r>
                    <w:r w:rsidRPr="00E10F0F">
                      <w:fldChar w:fldCharType="separate"/>
                    </w:r>
                    <w:r w:rsidRPr="00E10F0F">
                      <w:t>3</w:t>
                    </w:r>
                    <w:r w:rsidRPr="00E10F0F">
                      <w:fldChar w:fldCharType="end"/>
                    </w:r>
                  </w:p>
                </w:txbxContent>
              </v:textbox>
            </v:rect>
          </w:pict>
        </w:r>
        <w:r w:rsidRPr="00E10F0F">
          <w:rPr>
            <w:color w:val="0070C0"/>
            <w:sz w:val="16"/>
            <w:szCs w:val="16"/>
          </w:rPr>
          <w:t>gemeente Eijsden-Margraten</w:t>
        </w:r>
      </w:p>
      <w:p w14:paraId="6ED8F93A" w14:textId="77777777" w:rsidR="00E10F0F" w:rsidRPr="00E10F0F" w:rsidRDefault="00E10F0F">
        <w:pPr>
          <w:pStyle w:val="Voettekst"/>
          <w:rPr>
            <w:color w:val="0070C0"/>
            <w:sz w:val="16"/>
            <w:szCs w:val="16"/>
          </w:rPr>
        </w:pPr>
      </w:p>
      <w:p w14:paraId="14DE1006" w14:textId="77777777" w:rsidR="00E10F0F" w:rsidRDefault="00671FE4" w:rsidP="00E10F0F">
        <w:pPr>
          <w:pStyle w:val="Voettekst"/>
        </w:pPr>
      </w:p>
    </w:sdtContent>
  </w:sdt>
  <w:tbl>
    <w:tblPr>
      <w:tblW w:w="5000" w:type="pct"/>
      <w:tblCellMar>
        <w:left w:w="70" w:type="dxa"/>
        <w:right w:w="70" w:type="dxa"/>
      </w:tblCellMar>
      <w:tblLook w:val="0000" w:firstRow="0" w:lastRow="0" w:firstColumn="0" w:lastColumn="0" w:noHBand="0" w:noVBand="0"/>
    </w:tblPr>
    <w:tblGrid>
      <w:gridCol w:w="1899"/>
      <w:gridCol w:w="3349"/>
      <w:gridCol w:w="1243"/>
      <w:gridCol w:w="3146"/>
    </w:tblGrid>
    <w:tr w:rsidR="00AB5842" w14:paraId="2B52DB56" w14:textId="77777777" w:rsidTr="00072DDB">
      <w:tc>
        <w:tcPr>
          <w:tcW w:w="985" w:type="pct"/>
          <w:vAlign w:val="center"/>
        </w:tcPr>
        <w:p w14:paraId="261963AA" w14:textId="77777777" w:rsidR="00072DDB" w:rsidRPr="00B32EB4" w:rsidRDefault="00072DDB" w:rsidP="00072DDB">
          <w:pPr>
            <w:pStyle w:val="VoettekstEijsdenMargraten"/>
          </w:pPr>
        </w:p>
      </w:tc>
      <w:tc>
        <w:tcPr>
          <w:tcW w:w="1737" w:type="pct"/>
          <w:vAlign w:val="center"/>
        </w:tcPr>
        <w:p w14:paraId="37112E0D" w14:textId="77777777" w:rsidR="00072DDB" w:rsidRPr="00B32EB4" w:rsidRDefault="00072DDB" w:rsidP="00072DDB">
          <w:pPr>
            <w:pStyle w:val="VoettekstEijsdenMargraten"/>
          </w:pPr>
        </w:p>
      </w:tc>
      <w:tc>
        <w:tcPr>
          <w:tcW w:w="645" w:type="pct"/>
          <w:noWrap/>
          <w:tcMar>
            <w:left w:w="0" w:type="dxa"/>
          </w:tcMar>
          <w:vAlign w:val="center"/>
        </w:tcPr>
        <w:p w14:paraId="29207287" w14:textId="77777777" w:rsidR="00072DDB" w:rsidRPr="00B32EB4" w:rsidRDefault="00671FE4" w:rsidP="00072DDB">
          <w:pPr>
            <w:pStyle w:val="VoettekstEijsdenMargraten"/>
          </w:pPr>
          <w:r w:rsidRPr="00B32EB4">
            <w:t xml:space="preserve">Ons </w:t>
          </w:r>
          <w:r w:rsidRPr="00B32EB4">
            <w:t>kenmerk</w:t>
          </w:r>
        </w:p>
      </w:tc>
      <w:tc>
        <w:tcPr>
          <w:tcW w:w="1632" w:type="pct"/>
          <w:vAlign w:val="center"/>
        </w:tcPr>
        <w:p w14:paraId="5CD67BA9" w14:textId="77777777" w:rsidR="00072DDB" w:rsidRPr="00B32EB4" w:rsidRDefault="00671FE4" w:rsidP="00072DDB">
          <w:pPr>
            <w:pStyle w:val="VoettekstEijsdenMargraten"/>
          </w:pPr>
          <w:r w:rsidRPr="00B32EB4">
            <w:t xml:space="preserve">: </w:t>
          </w:r>
          <w:r>
            <w:t>Z/23/182312/686212</w:t>
          </w:r>
        </w:p>
      </w:tc>
    </w:tr>
    <w:tr w:rsidR="00AB5842" w14:paraId="4B8C2741" w14:textId="77777777" w:rsidTr="00072DDB">
      <w:trPr>
        <w:trHeight w:hRule="exact" w:val="340"/>
      </w:trPr>
      <w:tc>
        <w:tcPr>
          <w:tcW w:w="2722" w:type="pct"/>
          <w:gridSpan w:val="2"/>
          <w:noWrap/>
          <w:vAlign w:val="center"/>
        </w:tcPr>
        <w:p w14:paraId="24B53D06" w14:textId="77777777" w:rsidR="00072DDB" w:rsidRPr="00C35E9D" w:rsidRDefault="00671FE4" w:rsidP="00072DDB">
          <w:pPr>
            <w:pStyle w:val="Koptekst"/>
            <w:tabs>
              <w:tab w:val="clear" w:pos="4536"/>
              <w:tab w:val="clear" w:pos="9072"/>
            </w:tabs>
            <w:spacing w:before="60"/>
            <w:rPr>
              <w:rFonts w:ascii="Decos Code 39" w:hAnsi="Decos Code 39"/>
              <w:sz w:val="72"/>
              <w:szCs w:val="72"/>
            </w:rPr>
          </w:pPr>
          <w:r>
            <w:rPr>
              <w:rFonts w:ascii="Decos Code 39" w:hAnsi="Decos Code 39"/>
              <w:sz w:val="72"/>
              <w:szCs w:val="72"/>
            </w:rPr>
            <w:t>*</w:t>
          </w:r>
          <w:r>
            <w:rPr>
              <w:rFonts w:ascii="Decos Code 39" w:eastAsia="Decos Code 39" w:hAnsi="Decos Code 39" w:cs="Decos Code 39"/>
              <w:sz w:val="72"/>
              <w:szCs w:val="72"/>
            </w:rPr>
            <w:t>Z0986E4C9E1</w:t>
          </w:r>
          <w:r>
            <w:rPr>
              <w:rFonts w:ascii="Decos Code 39" w:hAnsi="Decos Code 39"/>
              <w:sz w:val="72"/>
              <w:szCs w:val="72"/>
            </w:rPr>
            <w:t>*</w:t>
          </w:r>
        </w:p>
      </w:tc>
      <w:tc>
        <w:tcPr>
          <w:tcW w:w="645" w:type="pct"/>
          <w:noWrap/>
          <w:tcMar>
            <w:left w:w="0" w:type="dxa"/>
          </w:tcMar>
          <w:vAlign w:val="center"/>
        </w:tcPr>
        <w:p w14:paraId="57F2CD4B" w14:textId="77777777" w:rsidR="00072DDB" w:rsidRPr="00B32EB4" w:rsidRDefault="00072DDB" w:rsidP="00072DDB">
          <w:pPr>
            <w:pStyle w:val="VoettekstEijsdenMargraten"/>
          </w:pPr>
        </w:p>
      </w:tc>
      <w:tc>
        <w:tcPr>
          <w:tcW w:w="1632" w:type="pct"/>
          <w:vAlign w:val="center"/>
        </w:tcPr>
        <w:p w14:paraId="18BAA657" w14:textId="77777777" w:rsidR="00072DDB" w:rsidRPr="00B32EB4" w:rsidRDefault="00072DDB" w:rsidP="00072DDB">
          <w:pPr>
            <w:pStyle w:val="VoettekstEijsdenMargraten"/>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50CA" w14:textId="77777777" w:rsidR="006D0548" w:rsidRDefault="006D0548">
      <w:pPr>
        <w:spacing w:after="0" w:line="240" w:lineRule="auto"/>
      </w:pPr>
      <w:r>
        <w:separator/>
      </w:r>
    </w:p>
  </w:footnote>
  <w:footnote w:type="continuationSeparator" w:id="0">
    <w:p w14:paraId="15B049A9" w14:textId="77777777" w:rsidR="006D0548" w:rsidRDefault="006D0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42E"/>
    <w:multiLevelType w:val="hybridMultilevel"/>
    <w:tmpl w:val="D1C045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2D5DDC"/>
    <w:multiLevelType w:val="hybridMultilevel"/>
    <w:tmpl w:val="95C41256"/>
    <w:lvl w:ilvl="0" w:tplc="04130019">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3D62B0E"/>
    <w:multiLevelType w:val="hybridMultilevel"/>
    <w:tmpl w:val="AABED74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3F57AF"/>
    <w:multiLevelType w:val="hybridMultilevel"/>
    <w:tmpl w:val="2CCE3E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E921A4F"/>
    <w:multiLevelType w:val="hybridMultilevel"/>
    <w:tmpl w:val="0A78FF90"/>
    <w:lvl w:ilvl="0" w:tplc="FEF8214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E91391"/>
    <w:multiLevelType w:val="hybridMultilevel"/>
    <w:tmpl w:val="C106BB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8C5D94"/>
    <w:multiLevelType w:val="hybridMultilevel"/>
    <w:tmpl w:val="9AD2D8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9401062">
    <w:abstractNumId w:val="5"/>
  </w:num>
  <w:num w:numId="2" w16cid:durableId="794493233">
    <w:abstractNumId w:val="0"/>
  </w:num>
  <w:num w:numId="3" w16cid:durableId="1355577097">
    <w:abstractNumId w:val="4"/>
  </w:num>
  <w:num w:numId="4" w16cid:durableId="1987587043">
    <w:abstractNumId w:val="3"/>
  </w:num>
  <w:num w:numId="5" w16cid:durableId="390737472">
    <w:abstractNumId w:val="6"/>
  </w:num>
  <w:num w:numId="6" w16cid:durableId="519514767">
    <w:abstractNumId w:val="2"/>
  </w:num>
  <w:num w:numId="7" w16cid:durableId="205292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2"/>
    <w:rsid w:val="000058DA"/>
    <w:rsid w:val="00064FCB"/>
    <w:rsid w:val="00072DDB"/>
    <w:rsid w:val="001E3D4A"/>
    <w:rsid w:val="001E7F63"/>
    <w:rsid w:val="0027719B"/>
    <w:rsid w:val="002C6AF1"/>
    <w:rsid w:val="002D1E63"/>
    <w:rsid w:val="0033179E"/>
    <w:rsid w:val="00331DB1"/>
    <w:rsid w:val="003400A6"/>
    <w:rsid w:val="003430E7"/>
    <w:rsid w:val="00385021"/>
    <w:rsid w:val="00393BF7"/>
    <w:rsid w:val="003F4E0E"/>
    <w:rsid w:val="00404510"/>
    <w:rsid w:val="00463AA7"/>
    <w:rsid w:val="004B41BF"/>
    <w:rsid w:val="004C2212"/>
    <w:rsid w:val="004C53B2"/>
    <w:rsid w:val="0053411C"/>
    <w:rsid w:val="005449C0"/>
    <w:rsid w:val="005834B2"/>
    <w:rsid w:val="0060192A"/>
    <w:rsid w:val="00671FE4"/>
    <w:rsid w:val="00674DF7"/>
    <w:rsid w:val="00695BEB"/>
    <w:rsid w:val="006A29B3"/>
    <w:rsid w:val="006B6424"/>
    <w:rsid w:val="006D0548"/>
    <w:rsid w:val="006F30D5"/>
    <w:rsid w:val="007171DA"/>
    <w:rsid w:val="00717B08"/>
    <w:rsid w:val="00725917"/>
    <w:rsid w:val="00794E60"/>
    <w:rsid w:val="00875819"/>
    <w:rsid w:val="00894396"/>
    <w:rsid w:val="00912C0A"/>
    <w:rsid w:val="00944513"/>
    <w:rsid w:val="00986749"/>
    <w:rsid w:val="009C0ADC"/>
    <w:rsid w:val="00A10C61"/>
    <w:rsid w:val="00A508AD"/>
    <w:rsid w:val="00AB5842"/>
    <w:rsid w:val="00AC5B6B"/>
    <w:rsid w:val="00B32EB4"/>
    <w:rsid w:val="00BB14E5"/>
    <w:rsid w:val="00BF0A5D"/>
    <w:rsid w:val="00BF1CF6"/>
    <w:rsid w:val="00C20056"/>
    <w:rsid w:val="00C35E9D"/>
    <w:rsid w:val="00C532C3"/>
    <w:rsid w:val="00C72198"/>
    <w:rsid w:val="00D22C7D"/>
    <w:rsid w:val="00D609C6"/>
    <w:rsid w:val="00D8531A"/>
    <w:rsid w:val="00DD2C54"/>
    <w:rsid w:val="00E10F0F"/>
    <w:rsid w:val="00EA79F4"/>
    <w:rsid w:val="00EC580B"/>
    <w:rsid w:val="00EE5636"/>
    <w:rsid w:val="00F020C9"/>
    <w:rsid w:val="00F50F4B"/>
    <w:rsid w:val="00F6642D"/>
    <w:rsid w:val="00F93610"/>
    <w:rsid w:val="00FE4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35F89D"/>
  <w15:docId w15:val="{0625C49E-694F-4435-B1C6-1009D2B2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49B1"/>
    <w:rPr>
      <w:sz w:val="20"/>
    </w:rPr>
  </w:style>
  <w:style w:type="paragraph" w:styleId="Kop1">
    <w:name w:val="heading 1"/>
    <w:basedOn w:val="Standaard"/>
    <w:next w:val="Standaard"/>
    <w:link w:val="Kop1Char"/>
    <w:uiPriority w:val="9"/>
    <w:qFormat/>
    <w:rsid w:val="00863C3B"/>
    <w:pPr>
      <w:keepNext/>
      <w:keepLines/>
      <w:pBdr>
        <w:bottom w:val="single" w:sz="4" w:space="1" w:color="F29400"/>
      </w:pBdr>
      <w:spacing w:before="400" w:after="40" w:line="340" w:lineRule="exact"/>
      <w:outlineLvl w:val="0"/>
    </w:pPr>
    <w:rPr>
      <w:rFonts w:asciiTheme="majorHAnsi" w:eastAsiaTheme="majorEastAsia" w:hAnsiTheme="majorHAnsi" w:cstheme="majorBidi"/>
      <w:color w:val="0091BD" w:themeColor="accent1"/>
      <w:sz w:val="30"/>
      <w:szCs w:val="36"/>
    </w:rPr>
  </w:style>
  <w:style w:type="paragraph" w:styleId="Kop2">
    <w:name w:val="heading 2"/>
    <w:basedOn w:val="Standaard"/>
    <w:next w:val="Standaard"/>
    <w:link w:val="Kop2Char"/>
    <w:uiPriority w:val="9"/>
    <w:unhideWhenUsed/>
    <w:qFormat/>
    <w:rsid w:val="00863C3B"/>
    <w:pPr>
      <w:keepNext/>
      <w:keepLines/>
      <w:spacing w:before="160" w:after="0" w:line="280" w:lineRule="exact"/>
      <w:outlineLvl w:val="1"/>
    </w:pPr>
    <w:rPr>
      <w:rFonts w:asciiTheme="majorHAnsi" w:eastAsiaTheme="majorEastAsia" w:hAnsiTheme="majorHAnsi" w:cstheme="majorBidi"/>
      <w:color w:val="0091BD" w:themeColor="accent1"/>
      <w:sz w:val="26"/>
      <w:szCs w:val="28"/>
    </w:rPr>
  </w:style>
  <w:style w:type="paragraph" w:styleId="Kop3">
    <w:name w:val="heading 3"/>
    <w:basedOn w:val="Standaard"/>
    <w:next w:val="Standaard"/>
    <w:link w:val="Kop3Char"/>
    <w:uiPriority w:val="9"/>
    <w:unhideWhenUsed/>
    <w:qFormat/>
    <w:rsid w:val="00863C3B"/>
    <w:pPr>
      <w:keepNext/>
      <w:keepLines/>
      <w:spacing w:before="80" w:after="0" w:line="280" w:lineRule="exact"/>
      <w:outlineLvl w:val="2"/>
    </w:pPr>
    <w:rPr>
      <w:rFonts w:asciiTheme="majorHAnsi" w:eastAsiaTheme="majorEastAsia" w:hAnsiTheme="majorHAnsi" w:cstheme="majorBidi"/>
      <w:color w:val="F29400" w:themeColor="accent2"/>
      <w:sz w:val="26"/>
      <w:szCs w:val="26"/>
    </w:rPr>
  </w:style>
  <w:style w:type="paragraph" w:styleId="Kop4">
    <w:name w:val="heading 4"/>
    <w:basedOn w:val="Standaard"/>
    <w:next w:val="Standaard"/>
    <w:link w:val="Kop4Char"/>
    <w:uiPriority w:val="9"/>
    <w:semiHidden/>
    <w:unhideWhenUsed/>
    <w:rsid w:val="00462F90"/>
    <w:pPr>
      <w:keepNext/>
      <w:keepLines/>
      <w:spacing w:before="80" w:after="0" w:line="260" w:lineRule="exact"/>
      <w:outlineLvl w:val="3"/>
    </w:pPr>
    <w:rPr>
      <w:rFonts w:asciiTheme="majorHAnsi" w:eastAsiaTheme="majorEastAsia" w:hAnsiTheme="majorHAnsi" w:cstheme="majorBidi"/>
      <w:b/>
      <w:sz w:val="24"/>
      <w:szCs w:val="24"/>
    </w:rPr>
  </w:style>
  <w:style w:type="paragraph" w:styleId="Kop5">
    <w:name w:val="heading 5"/>
    <w:basedOn w:val="Standaard"/>
    <w:next w:val="Standaard"/>
    <w:link w:val="Kop5Char"/>
    <w:uiPriority w:val="9"/>
    <w:semiHidden/>
    <w:unhideWhenUsed/>
    <w:qFormat/>
    <w:rsid w:val="009374D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374D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374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374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374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C3B"/>
    <w:rPr>
      <w:rFonts w:asciiTheme="majorHAnsi" w:eastAsiaTheme="majorEastAsia" w:hAnsiTheme="majorHAnsi" w:cstheme="majorBidi"/>
      <w:color w:val="0091BD" w:themeColor="accent1"/>
      <w:sz w:val="30"/>
      <w:szCs w:val="36"/>
    </w:rPr>
  </w:style>
  <w:style w:type="character" w:customStyle="1" w:styleId="Kop2Char">
    <w:name w:val="Kop 2 Char"/>
    <w:basedOn w:val="Standaardalinea-lettertype"/>
    <w:link w:val="Kop2"/>
    <w:uiPriority w:val="9"/>
    <w:rsid w:val="00863C3B"/>
    <w:rPr>
      <w:rFonts w:asciiTheme="majorHAnsi" w:eastAsiaTheme="majorEastAsia" w:hAnsiTheme="majorHAnsi" w:cstheme="majorBidi"/>
      <w:color w:val="0091BD" w:themeColor="accent1"/>
      <w:sz w:val="26"/>
      <w:szCs w:val="28"/>
    </w:rPr>
  </w:style>
  <w:style w:type="paragraph" w:styleId="Titel">
    <w:name w:val="Title"/>
    <w:basedOn w:val="Standaard"/>
    <w:next w:val="Standaard"/>
    <w:link w:val="TitelChar"/>
    <w:uiPriority w:val="10"/>
    <w:qFormat/>
    <w:rsid w:val="00863C3B"/>
    <w:pPr>
      <w:spacing w:after="0" w:line="500" w:lineRule="exact"/>
      <w:contextualSpacing/>
    </w:pPr>
    <w:rPr>
      <w:rFonts w:asciiTheme="majorHAnsi" w:eastAsiaTheme="majorEastAsia" w:hAnsiTheme="majorHAnsi" w:cstheme="majorBidi"/>
      <w:caps/>
      <w:color w:val="000000" w:themeColor="text1"/>
      <w:spacing w:val="-7"/>
      <w:sz w:val="50"/>
      <w:szCs w:val="80"/>
    </w:rPr>
  </w:style>
  <w:style w:type="character" w:customStyle="1" w:styleId="TitelChar">
    <w:name w:val="Titel Char"/>
    <w:basedOn w:val="Standaardalinea-lettertype"/>
    <w:link w:val="Titel"/>
    <w:uiPriority w:val="10"/>
    <w:rsid w:val="00863C3B"/>
    <w:rPr>
      <w:rFonts w:asciiTheme="majorHAnsi" w:eastAsiaTheme="majorEastAsia" w:hAnsiTheme="majorHAnsi" w:cstheme="majorBidi"/>
      <w:caps/>
      <w:color w:val="000000" w:themeColor="text1"/>
      <w:spacing w:val="-7"/>
      <w:sz w:val="50"/>
      <w:szCs w:val="80"/>
    </w:rPr>
  </w:style>
  <w:style w:type="paragraph" w:styleId="Ondertitel">
    <w:name w:val="Subtitle"/>
    <w:basedOn w:val="Standaard"/>
    <w:next w:val="Standaard"/>
    <w:link w:val="OndertitelChar"/>
    <w:uiPriority w:val="11"/>
    <w:qFormat/>
    <w:rsid w:val="00937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374D6"/>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9374D6"/>
    <w:rPr>
      <w:i/>
      <w:iCs/>
      <w:color w:val="595959" w:themeColor="text1" w:themeTint="A6"/>
    </w:rPr>
  </w:style>
  <w:style w:type="paragraph" w:styleId="Citaat">
    <w:name w:val="Quote"/>
    <w:basedOn w:val="Standaard"/>
    <w:next w:val="Standaard"/>
    <w:link w:val="CitaatChar"/>
    <w:uiPriority w:val="29"/>
    <w:qFormat/>
    <w:rsid w:val="009374D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374D6"/>
    <w:rPr>
      <w:i/>
      <w:iCs/>
    </w:rPr>
  </w:style>
  <w:style w:type="paragraph" w:styleId="Duidelijkcitaat">
    <w:name w:val="Intense Quote"/>
    <w:basedOn w:val="Standaard"/>
    <w:next w:val="Standaard"/>
    <w:link w:val="DuidelijkcitaatChar"/>
    <w:uiPriority w:val="30"/>
    <w:qFormat/>
    <w:rsid w:val="009374D6"/>
    <w:pPr>
      <w:spacing w:before="100" w:beforeAutospacing="1" w:after="240"/>
      <w:ind w:left="864" w:right="864"/>
      <w:jc w:val="center"/>
    </w:pPr>
    <w:rPr>
      <w:rFonts w:asciiTheme="majorHAnsi" w:eastAsiaTheme="majorEastAsia" w:hAnsiTheme="majorHAnsi" w:cstheme="majorBidi"/>
      <w:color w:val="0091BD" w:themeColor="accent1"/>
      <w:sz w:val="28"/>
      <w:szCs w:val="28"/>
    </w:rPr>
  </w:style>
  <w:style w:type="character" w:customStyle="1" w:styleId="DuidelijkcitaatChar">
    <w:name w:val="Duidelijk citaat Char"/>
    <w:basedOn w:val="Standaardalinea-lettertype"/>
    <w:link w:val="Duidelijkcitaat"/>
    <w:uiPriority w:val="30"/>
    <w:rsid w:val="009374D6"/>
    <w:rPr>
      <w:rFonts w:asciiTheme="majorHAnsi" w:eastAsiaTheme="majorEastAsia" w:hAnsiTheme="majorHAnsi" w:cstheme="majorBidi"/>
      <w:color w:val="0091BD" w:themeColor="accent1"/>
      <w:sz w:val="28"/>
      <w:szCs w:val="28"/>
    </w:rPr>
  </w:style>
  <w:style w:type="character" w:styleId="Subtieleverwijzing">
    <w:name w:val="Subtle Reference"/>
    <w:basedOn w:val="Standaardalinea-lettertype"/>
    <w:uiPriority w:val="31"/>
    <w:qFormat/>
    <w:rsid w:val="009374D6"/>
    <w:rPr>
      <w:smallCaps/>
      <w:color w:val="404040" w:themeColor="text1" w:themeTint="BF"/>
    </w:rPr>
  </w:style>
  <w:style w:type="character" w:styleId="Intensieveverwijzing">
    <w:name w:val="Intense Reference"/>
    <w:basedOn w:val="Standaardalinea-lettertype"/>
    <w:uiPriority w:val="32"/>
    <w:qFormat/>
    <w:rsid w:val="009374D6"/>
    <w:rPr>
      <w:b/>
      <w:bCs/>
      <w:smallCaps/>
      <w:u w:val="single"/>
    </w:rPr>
  </w:style>
  <w:style w:type="character" w:styleId="Titelvanboek">
    <w:name w:val="Book Title"/>
    <w:basedOn w:val="Standaardalinea-lettertype"/>
    <w:uiPriority w:val="33"/>
    <w:qFormat/>
    <w:rsid w:val="009374D6"/>
    <w:rPr>
      <w:b/>
      <w:bCs/>
      <w:smallCaps/>
    </w:rPr>
  </w:style>
  <w:style w:type="paragraph" w:styleId="Lijstalinea">
    <w:name w:val="List Paragraph"/>
    <w:basedOn w:val="Standaard"/>
    <w:uiPriority w:val="34"/>
    <w:qFormat/>
    <w:rsid w:val="00254CD3"/>
    <w:pPr>
      <w:ind w:left="720"/>
      <w:contextualSpacing/>
    </w:pPr>
  </w:style>
  <w:style w:type="character" w:styleId="Intensievebenadrukking">
    <w:name w:val="Intense Emphasis"/>
    <w:basedOn w:val="Standaardalinea-lettertype"/>
    <w:uiPriority w:val="21"/>
    <w:qFormat/>
    <w:rsid w:val="009374D6"/>
    <w:rPr>
      <w:b/>
      <w:bCs/>
      <w:i/>
      <w:iCs/>
    </w:rPr>
  </w:style>
  <w:style w:type="table" w:styleId="Tabelraster">
    <w:name w:val="Table Grid"/>
    <w:basedOn w:val="Standaardtabel"/>
    <w:uiPriority w:val="39"/>
    <w:rsid w:val="0025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462F90"/>
    <w:pPr>
      <w:spacing w:after="0" w:line="240" w:lineRule="auto"/>
    </w:pPr>
    <w:tblPr>
      <w:tblStyleRowBandSize w:val="1"/>
      <w:tblStyleColBandSize w:val="1"/>
      <w:tblBorders>
        <w:top w:val="single" w:sz="4" w:space="0" w:color="3ED1FF" w:themeColor="accent1" w:themeTint="99"/>
        <w:left w:val="single" w:sz="4" w:space="0" w:color="3ED1FF" w:themeColor="accent1" w:themeTint="99"/>
        <w:bottom w:val="single" w:sz="4" w:space="0" w:color="3ED1FF" w:themeColor="accent1" w:themeTint="99"/>
        <w:right w:val="single" w:sz="4" w:space="0" w:color="3ED1FF" w:themeColor="accent1" w:themeTint="99"/>
        <w:insideH w:val="single" w:sz="4" w:space="0" w:color="3ED1FF" w:themeColor="accent1" w:themeTint="99"/>
        <w:insideV w:val="single" w:sz="4" w:space="0" w:color="3ED1FF" w:themeColor="accent1" w:themeTint="99"/>
      </w:tblBorders>
    </w:tblPr>
    <w:tblStylePr w:type="firstRow">
      <w:rPr>
        <w:b/>
        <w:bCs/>
        <w:color w:val="FFFFFF" w:themeColor="background1"/>
      </w:rPr>
      <w:tblPr/>
      <w:tcPr>
        <w:tcBorders>
          <w:top w:val="single" w:sz="4" w:space="0" w:color="0091BD" w:themeColor="accent1"/>
          <w:left w:val="single" w:sz="4" w:space="0" w:color="0091BD" w:themeColor="accent1"/>
          <w:bottom w:val="single" w:sz="4" w:space="0" w:color="0091BD" w:themeColor="accent1"/>
          <w:right w:val="single" w:sz="4" w:space="0" w:color="0091BD" w:themeColor="accent1"/>
          <w:insideH w:val="nil"/>
          <w:insideV w:val="nil"/>
        </w:tcBorders>
        <w:shd w:val="clear" w:color="auto" w:fill="0091BD" w:themeFill="accent1"/>
      </w:tcPr>
    </w:tblStylePr>
    <w:tblStylePr w:type="lastRow">
      <w:rPr>
        <w:b/>
        <w:bCs/>
      </w:rPr>
      <w:tblPr/>
      <w:tcPr>
        <w:tcBorders>
          <w:top w:val="double" w:sz="4" w:space="0" w:color="0091BD" w:themeColor="accent1"/>
        </w:tcBorders>
      </w:tcPr>
    </w:tblStylePr>
    <w:tblStylePr w:type="firstCol">
      <w:rPr>
        <w:b/>
        <w:bCs/>
      </w:rPr>
    </w:tblStylePr>
    <w:tblStylePr w:type="lastCol">
      <w:rPr>
        <w:b/>
        <w:bCs/>
      </w:rPr>
    </w:tblStylePr>
    <w:tblStylePr w:type="band1Vert">
      <w:tblPr/>
      <w:tcPr>
        <w:shd w:val="clear" w:color="auto" w:fill="BEEFFF" w:themeFill="accent1" w:themeFillTint="33"/>
      </w:tcPr>
    </w:tblStylePr>
    <w:tblStylePr w:type="band1Horz">
      <w:tblPr/>
      <w:tcPr>
        <w:shd w:val="clear" w:color="auto" w:fill="BEEFFF" w:themeFill="accent1" w:themeFillTint="33"/>
      </w:tcPr>
    </w:tblStylePr>
  </w:style>
  <w:style w:type="paragraph" w:styleId="Kopvaninhoudsopgave">
    <w:name w:val="TOC Heading"/>
    <w:basedOn w:val="Kop1"/>
    <w:next w:val="Standaard"/>
    <w:uiPriority w:val="39"/>
    <w:unhideWhenUsed/>
    <w:qFormat/>
    <w:rsid w:val="009374D6"/>
    <w:pPr>
      <w:outlineLvl w:val="9"/>
    </w:pPr>
  </w:style>
  <w:style w:type="character" w:customStyle="1" w:styleId="Kop3Char">
    <w:name w:val="Kop 3 Char"/>
    <w:basedOn w:val="Standaardalinea-lettertype"/>
    <w:link w:val="Kop3"/>
    <w:uiPriority w:val="9"/>
    <w:rsid w:val="00863C3B"/>
    <w:rPr>
      <w:rFonts w:asciiTheme="majorHAnsi" w:eastAsiaTheme="majorEastAsia" w:hAnsiTheme="majorHAnsi" w:cstheme="majorBidi"/>
      <w:color w:val="F29400" w:themeColor="accent2"/>
      <w:sz w:val="26"/>
      <w:szCs w:val="26"/>
    </w:rPr>
  </w:style>
  <w:style w:type="character" w:customStyle="1" w:styleId="Kop4Char">
    <w:name w:val="Kop 4 Char"/>
    <w:basedOn w:val="Standaardalinea-lettertype"/>
    <w:link w:val="Kop4"/>
    <w:uiPriority w:val="9"/>
    <w:semiHidden/>
    <w:rsid w:val="00462F90"/>
    <w:rPr>
      <w:rFonts w:asciiTheme="majorHAnsi" w:eastAsiaTheme="majorEastAsia" w:hAnsiTheme="majorHAnsi" w:cstheme="majorBidi"/>
      <w:b/>
      <w:sz w:val="24"/>
      <w:szCs w:val="24"/>
    </w:rPr>
  </w:style>
  <w:style w:type="character" w:customStyle="1" w:styleId="Kop5Char">
    <w:name w:val="Kop 5 Char"/>
    <w:basedOn w:val="Standaardalinea-lettertype"/>
    <w:link w:val="Kop5"/>
    <w:uiPriority w:val="9"/>
    <w:semiHidden/>
    <w:rsid w:val="009374D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374D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374D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374D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374D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374D6"/>
    <w:pPr>
      <w:spacing w:line="240" w:lineRule="auto"/>
    </w:pPr>
    <w:rPr>
      <w:b/>
      <w:bCs/>
      <w:color w:val="404040" w:themeColor="text1" w:themeTint="BF"/>
      <w:szCs w:val="20"/>
    </w:rPr>
  </w:style>
  <w:style w:type="character" w:styleId="Zwaar">
    <w:name w:val="Strong"/>
    <w:basedOn w:val="Standaardalinea-lettertype"/>
    <w:uiPriority w:val="22"/>
    <w:qFormat/>
    <w:rsid w:val="009374D6"/>
    <w:rPr>
      <w:b/>
      <w:bCs/>
    </w:rPr>
  </w:style>
  <w:style w:type="character" w:styleId="Nadruk">
    <w:name w:val="Emphasis"/>
    <w:basedOn w:val="Standaardalinea-lettertype"/>
    <w:uiPriority w:val="20"/>
    <w:qFormat/>
    <w:rsid w:val="009374D6"/>
    <w:rPr>
      <w:i/>
      <w:iCs/>
    </w:rPr>
  </w:style>
  <w:style w:type="paragraph" w:styleId="Geenafstand">
    <w:name w:val="No Spacing"/>
    <w:uiPriority w:val="1"/>
    <w:qFormat/>
    <w:rsid w:val="003F49B1"/>
    <w:pPr>
      <w:spacing w:after="0" w:line="240" w:lineRule="auto"/>
    </w:pPr>
    <w:rPr>
      <w:sz w:val="20"/>
    </w:rPr>
  </w:style>
  <w:style w:type="table" w:customStyle="1" w:styleId="Rastertabel4-Accent21">
    <w:name w:val="Rastertabel 4 - Accent 21"/>
    <w:basedOn w:val="Standaardtabel"/>
    <w:uiPriority w:val="49"/>
    <w:rsid w:val="00462F90"/>
    <w:pPr>
      <w:spacing w:after="0"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customStyle="1" w:styleId="Rastertabel4-Accent41">
    <w:name w:val="Rastertabel 4 - Accent 41"/>
    <w:basedOn w:val="Standaardtabel"/>
    <w:uiPriority w:val="49"/>
    <w:rsid w:val="00462F90"/>
    <w:pPr>
      <w:spacing w:after="0" w:line="240" w:lineRule="auto"/>
    </w:pPr>
    <w:tblPr>
      <w:tblStyleRowBandSize w:val="1"/>
      <w:tblStyleColBandSize w:val="1"/>
      <w:tblBorders>
        <w:top w:val="single" w:sz="4" w:space="0" w:color="FF4881" w:themeColor="accent4" w:themeTint="99"/>
        <w:left w:val="single" w:sz="4" w:space="0" w:color="FF4881" w:themeColor="accent4" w:themeTint="99"/>
        <w:bottom w:val="single" w:sz="4" w:space="0" w:color="FF4881" w:themeColor="accent4" w:themeTint="99"/>
        <w:right w:val="single" w:sz="4" w:space="0" w:color="FF4881" w:themeColor="accent4" w:themeTint="99"/>
        <w:insideH w:val="single" w:sz="4" w:space="0" w:color="FF4881" w:themeColor="accent4" w:themeTint="99"/>
        <w:insideV w:val="single" w:sz="4" w:space="0" w:color="FF4881" w:themeColor="accent4" w:themeTint="99"/>
      </w:tblBorders>
    </w:tblPr>
    <w:tblStylePr w:type="firstRow">
      <w:rPr>
        <w:b/>
        <w:bCs/>
        <w:color w:val="FFFFFF" w:themeColor="background1"/>
      </w:rPr>
      <w:tblPr/>
      <w:tcPr>
        <w:tcBorders>
          <w:top w:val="single" w:sz="4" w:space="0" w:color="CD0041" w:themeColor="accent4"/>
          <w:left w:val="single" w:sz="4" w:space="0" w:color="CD0041" w:themeColor="accent4"/>
          <w:bottom w:val="single" w:sz="4" w:space="0" w:color="CD0041" w:themeColor="accent4"/>
          <w:right w:val="single" w:sz="4" w:space="0" w:color="CD0041" w:themeColor="accent4"/>
          <w:insideH w:val="nil"/>
          <w:insideV w:val="nil"/>
        </w:tcBorders>
        <w:shd w:val="clear" w:color="auto" w:fill="CD0041" w:themeFill="accent4"/>
      </w:tcPr>
    </w:tblStylePr>
    <w:tblStylePr w:type="lastRow">
      <w:rPr>
        <w:b/>
        <w:bCs/>
      </w:rPr>
      <w:tblPr/>
      <w:tcPr>
        <w:tcBorders>
          <w:top w:val="double" w:sz="4" w:space="0" w:color="CD0041" w:themeColor="accent4"/>
        </w:tcBorders>
      </w:tcPr>
    </w:tblStylePr>
    <w:tblStylePr w:type="firstCol">
      <w:rPr>
        <w:b/>
        <w:bCs/>
      </w:rPr>
    </w:tblStylePr>
    <w:tblStylePr w:type="lastCol">
      <w:rPr>
        <w:b/>
        <w:bCs/>
      </w:rPr>
    </w:tblStylePr>
    <w:tblStylePr w:type="band1Vert">
      <w:tblPr/>
      <w:tcPr>
        <w:shd w:val="clear" w:color="auto" w:fill="FFC2D5" w:themeFill="accent4" w:themeFillTint="33"/>
      </w:tcPr>
    </w:tblStylePr>
    <w:tblStylePr w:type="band1Horz">
      <w:tblPr/>
      <w:tcPr>
        <w:shd w:val="clear" w:color="auto" w:fill="FFC2D5" w:themeFill="accent4" w:themeFillTint="33"/>
      </w:tcPr>
    </w:tblStylePr>
  </w:style>
  <w:style w:type="table" w:customStyle="1" w:styleId="Rastertabel5donker-Accent21">
    <w:name w:val="Rastertabel 5 donker - Accent 2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customStyle="1" w:styleId="Rastertabel5donker-Accent41">
    <w:name w:val="Rastertabel 5 donker - Accent 4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2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00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00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00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0041" w:themeFill="accent4"/>
      </w:tcPr>
    </w:tblStylePr>
    <w:tblStylePr w:type="band1Vert">
      <w:tblPr/>
      <w:tcPr>
        <w:shd w:val="clear" w:color="auto" w:fill="FF85AB" w:themeFill="accent4" w:themeFillTint="66"/>
      </w:tcPr>
    </w:tblStylePr>
    <w:tblStylePr w:type="band1Horz">
      <w:tblPr/>
      <w:tcPr>
        <w:shd w:val="clear" w:color="auto" w:fill="FF85AB" w:themeFill="accent4" w:themeFillTint="66"/>
      </w:tcPr>
    </w:tblStylePr>
  </w:style>
  <w:style w:type="table" w:customStyle="1" w:styleId="Rastertabel5donker-Accent31">
    <w:name w:val="Rastertabel 5 donker - Accent 3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F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F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F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F1B" w:themeFill="accent3"/>
      </w:tcPr>
    </w:tblStylePr>
    <w:tblStylePr w:type="band1Vert">
      <w:tblPr/>
      <w:tcPr>
        <w:shd w:val="clear" w:color="auto" w:fill="D7EE94" w:themeFill="accent3" w:themeFillTint="66"/>
      </w:tcPr>
    </w:tblStylePr>
    <w:tblStylePr w:type="band1Horz">
      <w:tblPr/>
      <w:tcPr>
        <w:shd w:val="clear" w:color="auto" w:fill="D7EE94" w:themeFill="accent3" w:themeFillTint="66"/>
      </w:tcPr>
    </w:tblStylePr>
  </w:style>
  <w:style w:type="table" w:customStyle="1" w:styleId="Rastertabel5donker-Accent11">
    <w:name w:val="Rastertabel 5 donker - Accent 1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BD" w:themeFill="accent1"/>
      </w:tcPr>
    </w:tblStylePr>
    <w:tblStylePr w:type="band1Vert">
      <w:tblPr/>
      <w:tcPr>
        <w:shd w:val="clear" w:color="auto" w:fill="7EE0FF" w:themeFill="accent1" w:themeFillTint="66"/>
      </w:tcPr>
    </w:tblStylePr>
    <w:tblStylePr w:type="band1Horz">
      <w:tblPr/>
      <w:tcPr>
        <w:shd w:val="clear" w:color="auto" w:fill="7EE0FF" w:themeFill="accent1" w:themeFillTint="66"/>
      </w:tcPr>
    </w:tblStylePr>
  </w:style>
  <w:style w:type="paragraph" w:styleId="Koptekst">
    <w:name w:val="header"/>
    <w:basedOn w:val="Standaard"/>
    <w:link w:val="KoptekstChar"/>
    <w:uiPriority w:val="99"/>
    <w:unhideWhenUsed/>
    <w:rsid w:val="00E10F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0F0F"/>
    <w:rPr>
      <w:sz w:val="20"/>
    </w:rPr>
  </w:style>
  <w:style w:type="paragraph" w:styleId="Voettekst">
    <w:name w:val="footer"/>
    <w:basedOn w:val="Standaard"/>
    <w:link w:val="VoettekstChar"/>
    <w:uiPriority w:val="99"/>
    <w:unhideWhenUsed/>
    <w:rsid w:val="00E10F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0F0F"/>
    <w:rPr>
      <w:sz w:val="20"/>
    </w:rPr>
  </w:style>
  <w:style w:type="paragraph" w:customStyle="1" w:styleId="VoettekstEijsdenMargraten">
    <w:name w:val="VoettekstEijsdenMargraten"/>
    <w:basedOn w:val="Standaard"/>
    <w:rsid w:val="00B77F3F"/>
    <w:pPr>
      <w:spacing w:after="0" w:line="200" w:lineRule="exact"/>
    </w:pPr>
    <w:rPr>
      <w:rFonts w:ascii="Arial" w:eastAsia="Times New Roman" w:hAnsi="Arial" w:cs="Times New Roman"/>
      <w:sz w:val="14"/>
      <w:szCs w:val="24"/>
      <w:lang w:eastAsia="nl-NL"/>
    </w:rPr>
  </w:style>
  <w:style w:type="character" w:customStyle="1" w:styleId="Stijl1">
    <w:name w:val="Stijl1"/>
    <w:basedOn w:val="Standaardalinea-lettertype"/>
    <w:uiPriority w:val="1"/>
    <w:rsid w:val="00C532C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EsdMgt">
      <a:dk1>
        <a:sysClr val="windowText" lastClr="000000"/>
      </a:dk1>
      <a:lt1>
        <a:sysClr val="window" lastClr="FFFFFF"/>
      </a:lt1>
      <a:dk2>
        <a:srgbClr val="A5A5A5"/>
      </a:dk2>
      <a:lt2>
        <a:srgbClr val="E7E6E6"/>
      </a:lt2>
      <a:accent1>
        <a:srgbClr val="0091BD"/>
      </a:accent1>
      <a:accent2>
        <a:srgbClr val="F29400"/>
      </a:accent2>
      <a:accent3>
        <a:srgbClr val="8AAF1B"/>
      </a:accent3>
      <a:accent4>
        <a:srgbClr val="CD0041"/>
      </a:accent4>
      <a:accent5>
        <a:srgbClr val="D8D8D8"/>
      </a:accent5>
      <a:accent6>
        <a:srgbClr val="7F7F7F"/>
      </a:accent6>
      <a:hlink>
        <a:srgbClr val="CD0041"/>
      </a:hlink>
      <a:folHlink>
        <a:srgbClr val="0091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B5E61E1F-9F41-4099-B953-AE6F38516B60}">
  <ds:schemaRefs>
    <ds:schemaRef ds:uri="http://schemas.openxmlformats.org/officeDocument/2006/bibliography"/>
  </ds:schemaRefs>
</ds:datastoreItem>
</file>

<file path=customXml/itemProps2.xml><?xml version="1.0" encoding="utf-8"?>
<ds:datastoreItem xmlns:ds="http://schemas.openxmlformats.org/officeDocument/2006/customXml" ds:itemID="{19085FA2-0975-4A41-AD7E-A0482A89EAF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864</Words>
  <Characters>4756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Eijsden-Margraten</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Eijsden-Margraten</dc:creator>
  <cp:lastModifiedBy>Alice van Wijk</cp:lastModifiedBy>
  <cp:revision>2</cp:revision>
  <dcterms:created xsi:type="dcterms:W3CDTF">2024-06-20T12:37:00Z</dcterms:created>
  <dcterms:modified xsi:type="dcterms:W3CDTF">2024-06-20T12:37:00Z</dcterms:modified>
</cp:coreProperties>
</file>